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B0E1" w14:textId="77777777" w:rsidR="005C0A3A" w:rsidRDefault="005C0A3A" w:rsidP="005C0A3A">
      <w:pPr>
        <w:rPr>
          <w:b/>
          <w:bCs/>
          <w:sz w:val="40"/>
          <w:szCs w:val="40"/>
        </w:rPr>
      </w:pPr>
      <w:r>
        <w:rPr>
          <w:b/>
          <w:bCs/>
          <w:sz w:val="40"/>
          <w:szCs w:val="40"/>
        </w:rPr>
        <w:t>Appendix I – Reporting</w:t>
      </w:r>
    </w:p>
    <w:p w14:paraId="2E6A5D3D" w14:textId="77777777" w:rsidR="005C0A3A" w:rsidRPr="005C0A3A" w:rsidRDefault="005C0A3A" w:rsidP="005C0A3A">
      <w:pPr>
        <w:rPr>
          <w:rFonts w:ascii="Arial" w:hAnsi="Arial" w:cs="Arial"/>
          <w:sz w:val="24"/>
          <w:szCs w:val="24"/>
        </w:rPr>
      </w:pPr>
      <w:r w:rsidRPr="005C0A3A">
        <w:rPr>
          <w:rFonts w:ascii="Arial" w:hAnsi="Arial" w:cs="Arial"/>
          <w:sz w:val="24"/>
          <w:szCs w:val="24"/>
        </w:rPr>
        <w:t>The CFO is responsible for providing timely, high-quality information on key financial and treasury activities of Otago Polytechnic to the CE, Finance, Risk and Audit Committee and the Council. These reports will be prepared by the Finance Team. The reports should ensure senior management and governance are informed about:</w:t>
      </w:r>
    </w:p>
    <w:p w14:paraId="4187BB29" w14:textId="77777777" w:rsidR="005C0A3A" w:rsidRPr="005C0A3A" w:rsidRDefault="005C0A3A" w:rsidP="005C0A3A">
      <w:pPr>
        <w:pStyle w:val="ListParagraph"/>
        <w:numPr>
          <w:ilvl w:val="1"/>
          <w:numId w:val="1"/>
        </w:numPr>
        <w:ind w:left="360"/>
        <w:rPr>
          <w:rFonts w:ascii="Arial" w:hAnsi="Arial" w:cs="Arial"/>
          <w:sz w:val="24"/>
          <w:szCs w:val="24"/>
        </w:rPr>
      </w:pPr>
      <w:r w:rsidRPr="005C0A3A">
        <w:rPr>
          <w:rFonts w:ascii="Arial" w:hAnsi="Arial" w:cs="Arial"/>
          <w:sz w:val="24"/>
          <w:szCs w:val="24"/>
        </w:rPr>
        <w:t>Revenue, expenditure assets and liabilities performance against budget</w:t>
      </w:r>
    </w:p>
    <w:p w14:paraId="0F23F11C" w14:textId="77777777" w:rsidR="005C0A3A" w:rsidRPr="005C0A3A" w:rsidRDefault="005C0A3A" w:rsidP="005C0A3A">
      <w:pPr>
        <w:pStyle w:val="ListParagraph"/>
        <w:numPr>
          <w:ilvl w:val="1"/>
          <w:numId w:val="1"/>
        </w:numPr>
        <w:ind w:left="360"/>
        <w:rPr>
          <w:rFonts w:ascii="Arial" w:hAnsi="Arial" w:cs="Arial"/>
          <w:sz w:val="24"/>
          <w:szCs w:val="24"/>
        </w:rPr>
      </w:pPr>
      <w:r w:rsidRPr="005C0A3A">
        <w:rPr>
          <w:rFonts w:ascii="Arial" w:hAnsi="Arial" w:cs="Arial"/>
          <w:sz w:val="24"/>
          <w:szCs w:val="24"/>
        </w:rPr>
        <w:t>Current and forecast cash flow position.</w:t>
      </w:r>
    </w:p>
    <w:p w14:paraId="70E57125" w14:textId="77777777" w:rsidR="005C0A3A" w:rsidRPr="005C0A3A" w:rsidRDefault="005C0A3A" w:rsidP="005C0A3A">
      <w:pPr>
        <w:pStyle w:val="ListParagraph"/>
        <w:numPr>
          <w:ilvl w:val="1"/>
          <w:numId w:val="1"/>
        </w:numPr>
        <w:ind w:left="360"/>
        <w:rPr>
          <w:rFonts w:ascii="Arial" w:hAnsi="Arial" w:cs="Arial"/>
          <w:sz w:val="24"/>
          <w:szCs w:val="24"/>
        </w:rPr>
      </w:pPr>
      <w:r w:rsidRPr="005C0A3A">
        <w:rPr>
          <w:rFonts w:ascii="Arial" w:hAnsi="Arial" w:cs="Arial"/>
          <w:sz w:val="24"/>
          <w:szCs w:val="24"/>
        </w:rPr>
        <w:t>Actual and forecast capital expenditure against budget.</w:t>
      </w:r>
    </w:p>
    <w:p w14:paraId="2D329E91" w14:textId="77777777" w:rsidR="005C0A3A" w:rsidRPr="005C0A3A" w:rsidRDefault="005C0A3A" w:rsidP="005C0A3A">
      <w:pPr>
        <w:pStyle w:val="ListParagraph"/>
        <w:numPr>
          <w:ilvl w:val="1"/>
          <w:numId w:val="1"/>
        </w:numPr>
        <w:ind w:left="360"/>
        <w:rPr>
          <w:rFonts w:ascii="Arial" w:hAnsi="Arial" w:cs="Arial"/>
          <w:sz w:val="24"/>
          <w:szCs w:val="24"/>
        </w:rPr>
      </w:pPr>
      <w:r w:rsidRPr="005C0A3A">
        <w:rPr>
          <w:rFonts w:ascii="Arial" w:hAnsi="Arial" w:cs="Arial"/>
          <w:sz w:val="24"/>
          <w:szCs w:val="24"/>
        </w:rPr>
        <w:t>Invested funds.</w:t>
      </w:r>
    </w:p>
    <w:p w14:paraId="09F9D98D" w14:textId="77777777" w:rsidR="005C0A3A" w:rsidRPr="005C0A3A" w:rsidRDefault="005C0A3A" w:rsidP="005C0A3A">
      <w:pPr>
        <w:pStyle w:val="ListParagraph"/>
        <w:numPr>
          <w:ilvl w:val="1"/>
          <w:numId w:val="1"/>
        </w:numPr>
        <w:ind w:left="360"/>
        <w:rPr>
          <w:rFonts w:ascii="Arial" w:hAnsi="Arial" w:cs="Arial"/>
          <w:sz w:val="24"/>
          <w:szCs w:val="24"/>
        </w:rPr>
      </w:pPr>
      <w:r w:rsidRPr="005C0A3A">
        <w:rPr>
          <w:rFonts w:ascii="Arial" w:hAnsi="Arial" w:cs="Arial"/>
          <w:sz w:val="24"/>
          <w:szCs w:val="24"/>
        </w:rPr>
        <w:t>Current and projected borrowings and interest rates.</w:t>
      </w:r>
    </w:p>
    <w:p w14:paraId="511BA487" w14:textId="77777777" w:rsidR="005C0A3A" w:rsidRPr="005C0A3A" w:rsidRDefault="005C0A3A" w:rsidP="005C0A3A">
      <w:pPr>
        <w:pStyle w:val="ListParagraph"/>
        <w:numPr>
          <w:ilvl w:val="1"/>
          <w:numId w:val="1"/>
        </w:numPr>
        <w:ind w:left="360"/>
        <w:rPr>
          <w:rFonts w:ascii="Arial" w:hAnsi="Arial" w:cs="Arial"/>
          <w:sz w:val="24"/>
          <w:szCs w:val="24"/>
        </w:rPr>
      </w:pPr>
      <w:r w:rsidRPr="005C0A3A">
        <w:rPr>
          <w:rFonts w:ascii="Arial" w:hAnsi="Arial" w:cs="Arial"/>
          <w:sz w:val="24"/>
          <w:szCs w:val="24"/>
        </w:rPr>
        <w:t>Any hedging activity including external advice on the same.</w:t>
      </w:r>
    </w:p>
    <w:p w14:paraId="2C83B2A0" w14:textId="77777777" w:rsidR="005C0A3A" w:rsidRPr="005C0A3A" w:rsidRDefault="005C0A3A" w:rsidP="005C0A3A">
      <w:pPr>
        <w:pStyle w:val="ListParagraph"/>
        <w:numPr>
          <w:ilvl w:val="1"/>
          <w:numId w:val="1"/>
        </w:numPr>
        <w:ind w:left="360"/>
        <w:rPr>
          <w:rFonts w:ascii="Arial" w:hAnsi="Arial" w:cs="Arial"/>
          <w:sz w:val="24"/>
          <w:szCs w:val="24"/>
        </w:rPr>
      </w:pPr>
      <w:r w:rsidRPr="005C0A3A">
        <w:rPr>
          <w:rFonts w:ascii="Arial" w:hAnsi="Arial" w:cs="Arial"/>
          <w:sz w:val="24"/>
          <w:szCs w:val="24"/>
        </w:rPr>
        <w:t>Bank governance and compliance with covenants.</w:t>
      </w:r>
    </w:p>
    <w:p w14:paraId="536866F6" w14:textId="77777777" w:rsidR="005C0A3A" w:rsidRPr="005C0A3A" w:rsidRDefault="005C0A3A" w:rsidP="005C0A3A">
      <w:pPr>
        <w:pStyle w:val="ListParagraph"/>
        <w:numPr>
          <w:ilvl w:val="1"/>
          <w:numId w:val="1"/>
        </w:numPr>
        <w:ind w:left="360"/>
        <w:rPr>
          <w:rFonts w:ascii="Arial" w:hAnsi="Arial" w:cs="Arial"/>
          <w:sz w:val="24"/>
          <w:szCs w:val="24"/>
        </w:rPr>
      </w:pPr>
      <w:r w:rsidRPr="005C0A3A">
        <w:rPr>
          <w:rFonts w:ascii="Arial" w:hAnsi="Arial" w:cs="Arial"/>
          <w:sz w:val="24"/>
          <w:szCs w:val="24"/>
        </w:rPr>
        <w:t>Any changes in the credit ratings of Otago Polytechnic’s bankers.</w:t>
      </w:r>
    </w:p>
    <w:p w14:paraId="6742C61A" w14:textId="77777777" w:rsidR="005C0A3A" w:rsidRPr="005C0A3A" w:rsidRDefault="005C0A3A" w:rsidP="005C0A3A">
      <w:pPr>
        <w:pStyle w:val="ListParagraph"/>
        <w:numPr>
          <w:ilvl w:val="1"/>
          <w:numId w:val="1"/>
        </w:numPr>
        <w:ind w:left="360"/>
        <w:rPr>
          <w:rFonts w:ascii="Arial" w:hAnsi="Arial" w:cs="Arial"/>
          <w:sz w:val="24"/>
          <w:szCs w:val="24"/>
        </w:rPr>
      </w:pPr>
      <w:r w:rsidRPr="005C0A3A">
        <w:rPr>
          <w:rFonts w:ascii="Arial" w:hAnsi="Arial" w:cs="Arial"/>
          <w:sz w:val="24"/>
          <w:szCs w:val="24"/>
        </w:rPr>
        <w:t>Performance against financial criteria set by government agencies.</w:t>
      </w:r>
    </w:p>
    <w:p w14:paraId="07B6D261" w14:textId="77777777" w:rsidR="005C0A3A" w:rsidRPr="005C0A3A" w:rsidRDefault="005C0A3A" w:rsidP="005C0A3A">
      <w:pPr>
        <w:pStyle w:val="ListParagraph"/>
        <w:numPr>
          <w:ilvl w:val="1"/>
          <w:numId w:val="1"/>
        </w:numPr>
        <w:ind w:left="360"/>
        <w:rPr>
          <w:rFonts w:ascii="Arial" w:hAnsi="Arial" w:cs="Arial"/>
          <w:sz w:val="24"/>
          <w:szCs w:val="24"/>
        </w:rPr>
      </w:pPr>
      <w:r w:rsidRPr="005C0A3A">
        <w:rPr>
          <w:rFonts w:ascii="Arial" w:hAnsi="Arial" w:cs="Arial"/>
          <w:sz w:val="24"/>
          <w:szCs w:val="24"/>
        </w:rPr>
        <w:t>Any Policy breaches and mitigating actions.</w:t>
      </w:r>
    </w:p>
    <w:p w14:paraId="0BB17B2E" w14:textId="77777777" w:rsidR="005C0A3A" w:rsidRPr="005C0A3A" w:rsidRDefault="005C0A3A" w:rsidP="005C0A3A">
      <w:pPr>
        <w:pStyle w:val="ListParagraph"/>
        <w:numPr>
          <w:ilvl w:val="1"/>
          <w:numId w:val="1"/>
        </w:numPr>
        <w:ind w:left="360"/>
        <w:rPr>
          <w:rFonts w:ascii="Arial" w:hAnsi="Arial" w:cs="Arial"/>
          <w:sz w:val="24"/>
          <w:szCs w:val="24"/>
        </w:rPr>
      </w:pPr>
      <w:r w:rsidRPr="005C0A3A">
        <w:rPr>
          <w:rFonts w:ascii="Arial" w:hAnsi="Arial" w:cs="Arial"/>
          <w:sz w:val="24"/>
          <w:szCs w:val="24"/>
        </w:rPr>
        <w:t>Any other matters that may impact on the financial management, performance or risks of Otago Polytechnic.</w:t>
      </w:r>
    </w:p>
    <w:tbl>
      <w:tblPr>
        <w:tblStyle w:val="TableGrid"/>
        <w:tblW w:w="10060" w:type="dxa"/>
        <w:tblInd w:w="-526" w:type="dxa"/>
        <w:tblLook w:val="04A0" w:firstRow="1" w:lastRow="0" w:firstColumn="1" w:lastColumn="0" w:noHBand="0" w:noVBand="1"/>
      </w:tblPr>
      <w:tblGrid>
        <w:gridCol w:w="4947"/>
        <w:gridCol w:w="1430"/>
        <w:gridCol w:w="1840"/>
        <w:gridCol w:w="1843"/>
      </w:tblGrid>
      <w:tr w:rsidR="005C0A3A" w:rsidRPr="005C0A3A" w14:paraId="0981D0D6" w14:textId="77777777" w:rsidTr="009D7107">
        <w:tc>
          <w:tcPr>
            <w:tcW w:w="4957" w:type="dxa"/>
          </w:tcPr>
          <w:p w14:paraId="32CF4012" w14:textId="77777777" w:rsidR="005C0A3A" w:rsidRPr="005C0A3A" w:rsidRDefault="005C0A3A" w:rsidP="009D7107">
            <w:pPr>
              <w:rPr>
                <w:rFonts w:ascii="Arial" w:hAnsi="Arial" w:cs="Arial"/>
                <w:b/>
                <w:bCs/>
                <w:sz w:val="24"/>
                <w:szCs w:val="24"/>
              </w:rPr>
            </w:pPr>
            <w:r w:rsidRPr="005C0A3A">
              <w:rPr>
                <w:rFonts w:ascii="Arial" w:hAnsi="Arial" w:cs="Arial"/>
                <w:b/>
                <w:bCs/>
                <w:sz w:val="24"/>
                <w:szCs w:val="24"/>
              </w:rPr>
              <w:t>Report</w:t>
            </w:r>
          </w:p>
        </w:tc>
        <w:tc>
          <w:tcPr>
            <w:tcW w:w="1417" w:type="dxa"/>
          </w:tcPr>
          <w:p w14:paraId="53D9BA65" w14:textId="77777777" w:rsidR="005C0A3A" w:rsidRPr="005C0A3A" w:rsidRDefault="005C0A3A" w:rsidP="009D7107">
            <w:pPr>
              <w:rPr>
                <w:rFonts w:ascii="Arial" w:hAnsi="Arial" w:cs="Arial"/>
                <w:b/>
                <w:bCs/>
                <w:sz w:val="24"/>
                <w:szCs w:val="24"/>
              </w:rPr>
            </w:pPr>
            <w:r w:rsidRPr="005C0A3A">
              <w:rPr>
                <w:rFonts w:ascii="Arial" w:hAnsi="Arial" w:cs="Arial"/>
                <w:b/>
                <w:bCs/>
                <w:sz w:val="24"/>
                <w:szCs w:val="24"/>
              </w:rPr>
              <w:t>Frequency</w:t>
            </w:r>
          </w:p>
        </w:tc>
        <w:tc>
          <w:tcPr>
            <w:tcW w:w="1843" w:type="dxa"/>
          </w:tcPr>
          <w:p w14:paraId="62D095F2" w14:textId="77777777" w:rsidR="005C0A3A" w:rsidRPr="005C0A3A" w:rsidRDefault="005C0A3A" w:rsidP="009D7107">
            <w:pPr>
              <w:rPr>
                <w:rFonts w:ascii="Arial" w:hAnsi="Arial" w:cs="Arial"/>
                <w:b/>
                <w:bCs/>
                <w:sz w:val="24"/>
                <w:szCs w:val="24"/>
              </w:rPr>
            </w:pPr>
            <w:r w:rsidRPr="005C0A3A">
              <w:rPr>
                <w:rFonts w:ascii="Arial" w:hAnsi="Arial" w:cs="Arial"/>
                <w:b/>
                <w:bCs/>
                <w:sz w:val="24"/>
                <w:szCs w:val="24"/>
              </w:rPr>
              <w:t>Prepared by</w:t>
            </w:r>
          </w:p>
        </w:tc>
        <w:tc>
          <w:tcPr>
            <w:tcW w:w="1843" w:type="dxa"/>
          </w:tcPr>
          <w:p w14:paraId="77155C46" w14:textId="77777777" w:rsidR="005C0A3A" w:rsidRPr="005C0A3A" w:rsidRDefault="005C0A3A" w:rsidP="009D7107">
            <w:pPr>
              <w:rPr>
                <w:rFonts w:ascii="Arial" w:hAnsi="Arial" w:cs="Arial"/>
                <w:b/>
                <w:bCs/>
                <w:sz w:val="24"/>
                <w:szCs w:val="24"/>
              </w:rPr>
            </w:pPr>
            <w:r w:rsidRPr="005C0A3A">
              <w:rPr>
                <w:rFonts w:ascii="Arial" w:hAnsi="Arial" w:cs="Arial"/>
                <w:b/>
                <w:bCs/>
                <w:sz w:val="24"/>
                <w:szCs w:val="24"/>
              </w:rPr>
              <w:t>Recipient</w:t>
            </w:r>
          </w:p>
        </w:tc>
      </w:tr>
      <w:tr w:rsidR="005C0A3A" w:rsidRPr="005C0A3A" w14:paraId="6417B5F3" w14:textId="77777777" w:rsidTr="009D7107">
        <w:tc>
          <w:tcPr>
            <w:tcW w:w="4957" w:type="dxa"/>
          </w:tcPr>
          <w:p w14:paraId="54354854" w14:textId="77777777" w:rsidR="005C0A3A" w:rsidRPr="005C0A3A" w:rsidRDefault="005C0A3A" w:rsidP="009D7107">
            <w:pPr>
              <w:rPr>
                <w:rFonts w:ascii="Arial" w:hAnsi="Arial" w:cs="Arial"/>
                <w:b/>
                <w:bCs/>
                <w:sz w:val="24"/>
                <w:szCs w:val="24"/>
              </w:rPr>
            </w:pPr>
            <w:r w:rsidRPr="005C0A3A">
              <w:rPr>
                <w:rFonts w:ascii="Arial" w:hAnsi="Arial" w:cs="Arial"/>
                <w:b/>
                <w:bCs/>
                <w:sz w:val="24"/>
                <w:szCs w:val="24"/>
              </w:rPr>
              <w:t>Bank account analysis and cash position report</w:t>
            </w:r>
          </w:p>
        </w:tc>
        <w:tc>
          <w:tcPr>
            <w:tcW w:w="1417" w:type="dxa"/>
          </w:tcPr>
          <w:p w14:paraId="1B24AD43" w14:textId="77777777" w:rsidR="005C0A3A" w:rsidRPr="005C0A3A" w:rsidRDefault="005C0A3A" w:rsidP="009D7107">
            <w:pPr>
              <w:rPr>
                <w:rFonts w:ascii="Arial" w:hAnsi="Arial" w:cs="Arial"/>
                <w:sz w:val="24"/>
                <w:szCs w:val="24"/>
              </w:rPr>
            </w:pPr>
            <w:r w:rsidRPr="005C0A3A">
              <w:rPr>
                <w:rFonts w:ascii="Arial" w:hAnsi="Arial" w:cs="Arial"/>
                <w:sz w:val="24"/>
                <w:szCs w:val="24"/>
              </w:rPr>
              <w:t>Daily</w:t>
            </w:r>
          </w:p>
        </w:tc>
        <w:tc>
          <w:tcPr>
            <w:tcW w:w="1843" w:type="dxa"/>
          </w:tcPr>
          <w:p w14:paraId="6917A8A5" w14:textId="77777777" w:rsidR="005C0A3A" w:rsidRPr="005C0A3A" w:rsidRDefault="005C0A3A" w:rsidP="009D7107">
            <w:pPr>
              <w:rPr>
                <w:rFonts w:ascii="Arial" w:hAnsi="Arial" w:cs="Arial"/>
                <w:sz w:val="24"/>
                <w:szCs w:val="24"/>
              </w:rPr>
            </w:pPr>
            <w:r w:rsidRPr="005C0A3A">
              <w:rPr>
                <w:rFonts w:ascii="Arial" w:hAnsi="Arial" w:cs="Arial"/>
                <w:sz w:val="24"/>
                <w:szCs w:val="24"/>
              </w:rPr>
              <w:t>Finance Team</w:t>
            </w:r>
          </w:p>
        </w:tc>
        <w:tc>
          <w:tcPr>
            <w:tcW w:w="1843" w:type="dxa"/>
          </w:tcPr>
          <w:p w14:paraId="4BADC2D1" w14:textId="77777777" w:rsidR="005C0A3A" w:rsidRPr="005C0A3A" w:rsidRDefault="005C0A3A" w:rsidP="009D7107">
            <w:pPr>
              <w:rPr>
                <w:rFonts w:ascii="Arial" w:hAnsi="Arial" w:cs="Arial"/>
                <w:sz w:val="24"/>
                <w:szCs w:val="24"/>
              </w:rPr>
            </w:pPr>
            <w:r w:rsidRPr="005C0A3A">
              <w:rPr>
                <w:rFonts w:ascii="Arial" w:hAnsi="Arial" w:cs="Arial"/>
                <w:sz w:val="24"/>
                <w:szCs w:val="24"/>
              </w:rPr>
              <w:t>CFO</w:t>
            </w:r>
          </w:p>
        </w:tc>
      </w:tr>
      <w:tr w:rsidR="005C0A3A" w:rsidRPr="005C0A3A" w14:paraId="58C61902" w14:textId="77777777" w:rsidTr="009D7107">
        <w:tc>
          <w:tcPr>
            <w:tcW w:w="4957" w:type="dxa"/>
          </w:tcPr>
          <w:p w14:paraId="7CAC05F0" w14:textId="77777777" w:rsidR="005C0A3A" w:rsidRPr="005C0A3A" w:rsidRDefault="005C0A3A" w:rsidP="009D7107">
            <w:pPr>
              <w:rPr>
                <w:rFonts w:ascii="Arial" w:hAnsi="Arial" w:cs="Arial"/>
                <w:b/>
                <w:bCs/>
                <w:sz w:val="24"/>
                <w:szCs w:val="24"/>
              </w:rPr>
            </w:pPr>
            <w:r w:rsidRPr="005C0A3A">
              <w:rPr>
                <w:rFonts w:ascii="Arial" w:hAnsi="Arial" w:cs="Arial"/>
                <w:b/>
                <w:bCs/>
                <w:sz w:val="24"/>
                <w:szCs w:val="24"/>
              </w:rPr>
              <w:t>Treasury exceptions report</w:t>
            </w:r>
          </w:p>
        </w:tc>
        <w:tc>
          <w:tcPr>
            <w:tcW w:w="1417" w:type="dxa"/>
          </w:tcPr>
          <w:p w14:paraId="6E6CC025" w14:textId="77777777" w:rsidR="005C0A3A" w:rsidRPr="005C0A3A" w:rsidRDefault="005C0A3A" w:rsidP="009D7107">
            <w:pPr>
              <w:rPr>
                <w:rFonts w:ascii="Arial" w:hAnsi="Arial" w:cs="Arial"/>
                <w:sz w:val="24"/>
                <w:szCs w:val="24"/>
              </w:rPr>
            </w:pPr>
            <w:r w:rsidRPr="005C0A3A">
              <w:rPr>
                <w:rFonts w:ascii="Arial" w:hAnsi="Arial" w:cs="Arial"/>
                <w:sz w:val="24"/>
                <w:szCs w:val="24"/>
              </w:rPr>
              <w:t>As required</w:t>
            </w:r>
          </w:p>
        </w:tc>
        <w:tc>
          <w:tcPr>
            <w:tcW w:w="1843" w:type="dxa"/>
          </w:tcPr>
          <w:p w14:paraId="5D14444D" w14:textId="77777777" w:rsidR="005C0A3A" w:rsidRPr="005C0A3A" w:rsidRDefault="005C0A3A" w:rsidP="009D7107">
            <w:pPr>
              <w:rPr>
                <w:rFonts w:ascii="Arial" w:hAnsi="Arial" w:cs="Arial"/>
                <w:sz w:val="24"/>
                <w:szCs w:val="24"/>
              </w:rPr>
            </w:pPr>
            <w:r w:rsidRPr="005C0A3A">
              <w:rPr>
                <w:rFonts w:ascii="Arial" w:hAnsi="Arial" w:cs="Arial"/>
                <w:sz w:val="24"/>
                <w:szCs w:val="24"/>
              </w:rPr>
              <w:t>Finance Team</w:t>
            </w:r>
          </w:p>
        </w:tc>
        <w:tc>
          <w:tcPr>
            <w:tcW w:w="1843" w:type="dxa"/>
          </w:tcPr>
          <w:p w14:paraId="6D8D175C" w14:textId="77777777" w:rsidR="005C0A3A" w:rsidRPr="005C0A3A" w:rsidRDefault="005C0A3A" w:rsidP="009D7107">
            <w:pPr>
              <w:rPr>
                <w:rFonts w:ascii="Arial" w:hAnsi="Arial" w:cs="Arial"/>
                <w:sz w:val="24"/>
                <w:szCs w:val="24"/>
              </w:rPr>
            </w:pPr>
            <w:r w:rsidRPr="005C0A3A">
              <w:rPr>
                <w:rFonts w:ascii="Arial" w:hAnsi="Arial" w:cs="Arial"/>
                <w:sz w:val="24"/>
                <w:szCs w:val="24"/>
              </w:rPr>
              <w:t>CFO</w:t>
            </w:r>
          </w:p>
        </w:tc>
      </w:tr>
      <w:tr w:rsidR="005C0A3A" w:rsidRPr="005C0A3A" w14:paraId="310B4162" w14:textId="77777777" w:rsidTr="009D7107">
        <w:tc>
          <w:tcPr>
            <w:tcW w:w="4957" w:type="dxa"/>
          </w:tcPr>
          <w:p w14:paraId="42BA53D8" w14:textId="77777777" w:rsidR="005C0A3A" w:rsidRPr="005C0A3A" w:rsidRDefault="005C0A3A" w:rsidP="009D7107">
            <w:pPr>
              <w:rPr>
                <w:rFonts w:ascii="Arial" w:hAnsi="Arial" w:cs="Arial"/>
                <w:b/>
                <w:bCs/>
                <w:sz w:val="24"/>
                <w:szCs w:val="24"/>
              </w:rPr>
            </w:pPr>
            <w:r w:rsidRPr="005C0A3A">
              <w:rPr>
                <w:rFonts w:ascii="Arial" w:hAnsi="Arial" w:cs="Arial"/>
                <w:b/>
                <w:bCs/>
                <w:sz w:val="24"/>
                <w:szCs w:val="24"/>
              </w:rPr>
              <w:t>Monthly Treasury Report</w:t>
            </w:r>
          </w:p>
          <w:p w14:paraId="012F5173" w14:textId="77777777" w:rsidR="005C0A3A" w:rsidRPr="005C0A3A" w:rsidRDefault="005C0A3A" w:rsidP="005C0A3A">
            <w:pPr>
              <w:pStyle w:val="ListParagraph"/>
              <w:numPr>
                <w:ilvl w:val="0"/>
                <w:numId w:val="2"/>
              </w:numPr>
              <w:rPr>
                <w:rFonts w:ascii="Arial" w:hAnsi="Arial" w:cs="Arial"/>
                <w:sz w:val="24"/>
                <w:szCs w:val="24"/>
              </w:rPr>
            </w:pPr>
            <w:r w:rsidRPr="005C0A3A">
              <w:rPr>
                <w:rFonts w:ascii="Arial" w:hAnsi="Arial" w:cs="Arial"/>
                <w:sz w:val="24"/>
                <w:szCs w:val="24"/>
              </w:rPr>
              <w:t>Bank reconciliation</w:t>
            </w:r>
          </w:p>
          <w:p w14:paraId="0F54634D" w14:textId="77777777" w:rsidR="005C0A3A" w:rsidRPr="005C0A3A" w:rsidRDefault="005C0A3A" w:rsidP="005C0A3A">
            <w:pPr>
              <w:pStyle w:val="ListParagraph"/>
              <w:numPr>
                <w:ilvl w:val="0"/>
                <w:numId w:val="2"/>
              </w:numPr>
              <w:rPr>
                <w:rFonts w:ascii="Arial" w:hAnsi="Arial" w:cs="Arial"/>
                <w:sz w:val="24"/>
                <w:szCs w:val="24"/>
              </w:rPr>
            </w:pPr>
            <w:r w:rsidRPr="005C0A3A">
              <w:rPr>
                <w:rFonts w:ascii="Arial" w:hAnsi="Arial" w:cs="Arial"/>
                <w:sz w:val="24"/>
                <w:szCs w:val="24"/>
              </w:rPr>
              <w:t>Borrowing limits</w:t>
            </w:r>
          </w:p>
          <w:p w14:paraId="33722F21" w14:textId="77777777" w:rsidR="005C0A3A" w:rsidRPr="005C0A3A" w:rsidRDefault="005C0A3A" w:rsidP="005C0A3A">
            <w:pPr>
              <w:pStyle w:val="ListParagraph"/>
              <w:numPr>
                <w:ilvl w:val="0"/>
                <w:numId w:val="2"/>
              </w:numPr>
              <w:rPr>
                <w:rFonts w:ascii="Arial" w:hAnsi="Arial" w:cs="Arial"/>
                <w:sz w:val="24"/>
                <w:szCs w:val="24"/>
              </w:rPr>
            </w:pPr>
            <w:r w:rsidRPr="005C0A3A">
              <w:rPr>
                <w:rFonts w:ascii="Arial" w:hAnsi="Arial" w:cs="Arial"/>
                <w:sz w:val="24"/>
                <w:szCs w:val="24"/>
              </w:rPr>
              <w:t>Funding and Interest Position</w:t>
            </w:r>
          </w:p>
          <w:p w14:paraId="3E86E622" w14:textId="77777777" w:rsidR="005C0A3A" w:rsidRPr="005C0A3A" w:rsidRDefault="005C0A3A" w:rsidP="005C0A3A">
            <w:pPr>
              <w:pStyle w:val="ListParagraph"/>
              <w:numPr>
                <w:ilvl w:val="0"/>
                <w:numId w:val="2"/>
              </w:numPr>
              <w:rPr>
                <w:rFonts w:ascii="Arial" w:hAnsi="Arial" w:cs="Arial"/>
                <w:sz w:val="24"/>
                <w:szCs w:val="24"/>
              </w:rPr>
            </w:pPr>
            <w:r w:rsidRPr="005C0A3A">
              <w:rPr>
                <w:rFonts w:ascii="Arial" w:hAnsi="Arial" w:cs="Arial"/>
                <w:sz w:val="24"/>
                <w:szCs w:val="24"/>
              </w:rPr>
              <w:t>Funding facility/usage</w:t>
            </w:r>
          </w:p>
          <w:p w14:paraId="58378014" w14:textId="77777777" w:rsidR="005C0A3A" w:rsidRPr="005C0A3A" w:rsidRDefault="005C0A3A" w:rsidP="005C0A3A">
            <w:pPr>
              <w:pStyle w:val="ListParagraph"/>
              <w:numPr>
                <w:ilvl w:val="0"/>
                <w:numId w:val="2"/>
              </w:numPr>
              <w:rPr>
                <w:rFonts w:ascii="Arial" w:hAnsi="Arial" w:cs="Arial"/>
                <w:sz w:val="24"/>
                <w:szCs w:val="24"/>
              </w:rPr>
            </w:pPr>
            <w:r w:rsidRPr="005C0A3A">
              <w:rPr>
                <w:rFonts w:ascii="Arial" w:hAnsi="Arial" w:cs="Arial"/>
                <w:sz w:val="24"/>
                <w:szCs w:val="24"/>
              </w:rPr>
              <w:t>New treasury transactions</w:t>
            </w:r>
          </w:p>
          <w:p w14:paraId="643959A1" w14:textId="77777777" w:rsidR="005C0A3A" w:rsidRPr="005C0A3A" w:rsidRDefault="005C0A3A" w:rsidP="005C0A3A">
            <w:pPr>
              <w:pStyle w:val="ListParagraph"/>
              <w:numPr>
                <w:ilvl w:val="0"/>
                <w:numId w:val="2"/>
              </w:numPr>
              <w:rPr>
                <w:rFonts w:ascii="Arial" w:hAnsi="Arial" w:cs="Arial"/>
                <w:sz w:val="24"/>
                <w:szCs w:val="24"/>
              </w:rPr>
            </w:pPr>
            <w:r w:rsidRPr="005C0A3A">
              <w:rPr>
                <w:rFonts w:ascii="Arial" w:hAnsi="Arial" w:cs="Arial"/>
                <w:sz w:val="24"/>
                <w:szCs w:val="24"/>
              </w:rPr>
              <w:t>Cash flow forecast report</w:t>
            </w:r>
          </w:p>
          <w:p w14:paraId="07305194" w14:textId="77777777" w:rsidR="005C0A3A" w:rsidRPr="005C0A3A" w:rsidRDefault="005C0A3A" w:rsidP="005C0A3A">
            <w:pPr>
              <w:pStyle w:val="ListParagraph"/>
              <w:numPr>
                <w:ilvl w:val="0"/>
                <w:numId w:val="2"/>
              </w:numPr>
              <w:rPr>
                <w:rFonts w:ascii="Arial" w:hAnsi="Arial" w:cs="Arial"/>
                <w:sz w:val="24"/>
                <w:szCs w:val="24"/>
              </w:rPr>
            </w:pPr>
            <w:r w:rsidRPr="005C0A3A">
              <w:rPr>
                <w:rFonts w:ascii="Arial" w:hAnsi="Arial" w:cs="Arial"/>
                <w:sz w:val="24"/>
                <w:szCs w:val="24"/>
              </w:rPr>
              <w:t>Liquidity position/limit</w:t>
            </w:r>
          </w:p>
          <w:p w14:paraId="63B6574E" w14:textId="77777777" w:rsidR="005C0A3A" w:rsidRPr="005C0A3A" w:rsidRDefault="005C0A3A" w:rsidP="005C0A3A">
            <w:pPr>
              <w:pStyle w:val="ListParagraph"/>
              <w:numPr>
                <w:ilvl w:val="0"/>
                <w:numId w:val="2"/>
              </w:numPr>
              <w:rPr>
                <w:rFonts w:ascii="Arial" w:hAnsi="Arial" w:cs="Arial"/>
                <w:sz w:val="24"/>
                <w:szCs w:val="24"/>
              </w:rPr>
            </w:pPr>
            <w:r w:rsidRPr="005C0A3A">
              <w:rPr>
                <w:rFonts w:ascii="Arial" w:hAnsi="Arial" w:cs="Arial"/>
                <w:sz w:val="24"/>
                <w:szCs w:val="24"/>
              </w:rPr>
              <w:t>Foreign exchange</w:t>
            </w:r>
          </w:p>
          <w:p w14:paraId="6540428B" w14:textId="77777777" w:rsidR="005C0A3A" w:rsidRPr="005C0A3A" w:rsidRDefault="005C0A3A" w:rsidP="005C0A3A">
            <w:pPr>
              <w:pStyle w:val="ListParagraph"/>
              <w:numPr>
                <w:ilvl w:val="0"/>
                <w:numId w:val="2"/>
              </w:numPr>
              <w:rPr>
                <w:rFonts w:ascii="Arial" w:hAnsi="Arial" w:cs="Arial"/>
                <w:sz w:val="24"/>
                <w:szCs w:val="24"/>
              </w:rPr>
            </w:pPr>
            <w:r w:rsidRPr="005C0A3A">
              <w:rPr>
                <w:rFonts w:ascii="Arial" w:hAnsi="Arial" w:cs="Arial"/>
                <w:sz w:val="24"/>
                <w:szCs w:val="24"/>
              </w:rPr>
              <w:t>Counterparty credit</w:t>
            </w:r>
          </w:p>
          <w:p w14:paraId="6D45CE52" w14:textId="77777777" w:rsidR="005C0A3A" w:rsidRPr="005C0A3A" w:rsidRDefault="005C0A3A" w:rsidP="005C0A3A">
            <w:pPr>
              <w:pStyle w:val="ListParagraph"/>
              <w:numPr>
                <w:ilvl w:val="0"/>
                <w:numId w:val="2"/>
              </w:numPr>
              <w:rPr>
                <w:rFonts w:ascii="Arial" w:hAnsi="Arial" w:cs="Arial"/>
                <w:sz w:val="24"/>
                <w:szCs w:val="24"/>
              </w:rPr>
            </w:pPr>
            <w:r w:rsidRPr="005C0A3A">
              <w:rPr>
                <w:rFonts w:ascii="Arial" w:hAnsi="Arial" w:cs="Arial"/>
                <w:sz w:val="24"/>
                <w:szCs w:val="24"/>
              </w:rPr>
              <w:t>Financial ratios (TEC and bank)</w:t>
            </w:r>
          </w:p>
          <w:p w14:paraId="2A091B59" w14:textId="77777777" w:rsidR="005C0A3A" w:rsidRPr="005C0A3A" w:rsidRDefault="005C0A3A" w:rsidP="005C0A3A">
            <w:pPr>
              <w:pStyle w:val="ListParagraph"/>
              <w:numPr>
                <w:ilvl w:val="0"/>
                <w:numId w:val="2"/>
              </w:numPr>
              <w:rPr>
                <w:rFonts w:ascii="Arial" w:hAnsi="Arial" w:cs="Arial"/>
                <w:sz w:val="24"/>
                <w:szCs w:val="24"/>
              </w:rPr>
            </w:pPr>
            <w:r w:rsidRPr="005C0A3A">
              <w:rPr>
                <w:rFonts w:ascii="Arial" w:hAnsi="Arial" w:cs="Arial"/>
                <w:sz w:val="24"/>
                <w:szCs w:val="24"/>
              </w:rPr>
              <w:t>Investment Schedule</w:t>
            </w:r>
          </w:p>
          <w:p w14:paraId="3A6AED0A" w14:textId="77777777" w:rsidR="005C0A3A" w:rsidRPr="005C0A3A" w:rsidRDefault="005C0A3A" w:rsidP="005C0A3A">
            <w:pPr>
              <w:pStyle w:val="ListParagraph"/>
              <w:numPr>
                <w:ilvl w:val="0"/>
                <w:numId w:val="2"/>
              </w:numPr>
              <w:rPr>
                <w:rFonts w:ascii="Arial" w:hAnsi="Arial" w:cs="Arial"/>
                <w:sz w:val="24"/>
                <w:szCs w:val="24"/>
              </w:rPr>
            </w:pPr>
            <w:r w:rsidRPr="005C0A3A">
              <w:rPr>
                <w:rFonts w:ascii="Arial" w:hAnsi="Arial" w:cs="Arial"/>
                <w:sz w:val="24"/>
                <w:szCs w:val="24"/>
              </w:rPr>
              <w:t>Treasury Exceptions Report</w:t>
            </w:r>
          </w:p>
        </w:tc>
        <w:tc>
          <w:tcPr>
            <w:tcW w:w="1417" w:type="dxa"/>
          </w:tcPr>
          <w:p w14:paraId="33146BF4" w14:textId="77777777" w:rsidR="005C0A3A" w:rsidRPr="005C0A3A" w:rsidRDefault="005C0A3A" w:rsidP="009D7107">
            <w:pPr>
              <w:rPr>
                <w:rFonts w:ascii="Arial" w:hAnsi="Arial" w:cs="Arial"/>
                <w:sz w:val="24"/>
                <w:szCs w:val="24"/>
              </w:rPr>
            </w:pPr>
            <w:r w:rsidRPr="005C0A3A">
              <w:rPr>
                <w:rFonts w:ascii="Arial" w:hAnsi="Arial" w:cs="Arial"/>
                <w:sz w:val="24"/>
                <w:szCs w:val="24"/>
              </w:rPr>
              <w:t>Monthly</w:t>
            </w:r>
          </w:p>
        </w:tc>
        <w:tc>
          <w:tcPr>
            <w:tcW w:w="1843" w:type="dxa"/>
          </w:tcPr>
          <w:p w14:paraId="317E48E2" w14:textId="77777777" w:rsidR="005C0A3A" w:rsidRPr="005C0A3A" w:rsidRDefault="005C0A3A" w:rsidP="009D7107">
            <w:pPr>
              <w:rPr>
                <w:rFonts w:ascii="Arial" w:hAnsi="Arial" w:cs="Arial"/>
                <w:sz w:val="24"/>
                <w:szCs w:val="24"/>
              </w:rPr>
            </w:pPr>
            <w:r w:rsidRPr="005C0A3A">
              <w:rPr>
                <w:rFonts w:ascii="Arial" w:hAnsi="Arial" w:cs="Arial"/>
                <w:sz w:val="24"/>
                <w:szCs w:val="24"/>
              </w:rPr>
              <w:t>Finance Team</w:t>
            </w:r>
          </w:p>
        </w:tc>
        <w:tc>
          <w:tcPr>
            <w:tcW w:w="1843" w:type="dxa"/>
          </w:tcPr>
          <w:p w14:paraId="54BEC664" w14:textId="77777777" w:rsidR="005C0A3A" w:rsidRPr="005C0A3A" w:rsidRDefault="005C0A3A" w:rsidP="005C0A3A">
            <w:pPr>
              <w:pStyle w:val="ListParagraph"/>
              <w:numPr>
                <w:ilvl w:val="0"/>
                <w:numId w:val="4"/>
              </w:numPr>
              <w:rPr>
                <w:rFonts w:ascii="Arial" w:hAnsi="Arial" w:cs="Arial"/>
                <w:sz w:val="24"/>
                <w:szCs w:val="24"/>
              </w:rPr>
            </w:pPr>
            <w:r w:rsidRPr="005C0A3A">
              <w:rPr>
                <w:rFonts w:ascii="Arial" w:hAnsi="Arial" w:cs="Arial"/>
                <w:sz w:val="24"/>
                <w:szCs w:val="24"/>
              </w:rPr>
              <w:t>CE and CFO</w:t>
            </w:r>
          </w:p>
          <w:p w14:paraId="35CDBE53" w14:textId="77777777" w:rsidR="005C0A3A" w:rsidRPr="005C0A3A" w:rsidRDefault="005C0A3A" w:rsidP="005C0A3A">
            <w:pPr>
              <w:pStyle w:val="ListParagraph"/>
              <w:numPr>
                <w:ilvl w:val="0"/>
                <w:numId w:val="4"/>
              </w:numPr>
              <w:rPr>
                <w:rFonts w:ascii="Arial" w:hAnsi="Arial" w:cs="Arial"/>
                <w:sz w:val="24"/>
                <w:szCs w:val="24"/>
              </w:rPr>
            </w:pPr>
            <w:r w:rsidRPr="005C0A3A">
              <w:rPr>
                <w:rFonts w:ascii="Arial" w:hAnsi="Arial" w:cs="Arial"/>
                <w:sz w:val="24"/>
                <w:szCs w:val="24"/>
              </w:rPr>
              <w:t>Finance, Risk and Audit Committee</w:t>
            </w:r>
          </w:p>
        </w:tc>
      </w:tr>
      <w:tr w:rsidR="005C0A3A" w:rsidRPr="005C0A3A" w14:paraId="63BD2443" w14:textId="77777777" w:rsidTr="009D7107">
        <w:tc>
          <w:tcPr>
            <w:tcW w:w="4957" w:type="dxa"/>
          </w:tcPr>
          <w:p w14:paraId="17D80E2B" w14:textId="77777777" w:rsidR="005C0A3A" w:rsidRPr="005C0A3A" w:rsidRDefault="005C0A3A" w:rsidP="009D7107">
            <w:pPr>
              <w:rPr>
                <w:rFonts w:ascii="Arial" w:hAnsi="Arial" w:cs="Arial"/>
                <w:b/>
                <w:bCs/>
                <w:sz w:val="24"/>
                <w:szCs w:val="24"/>
              </w:rPr>
            </w:pPr>
            <w:r w:rsidRPr="005C0A3A">
              <w:rPr>
                <w:rFonts w:ascii="Arial" w:hAnsi="Arial" w:cs="Arial"/>
                <w:b/>
                <w:bCs/>
                <w:sz w:val="24"/>
                <w:szCs w:val="24"/>
              </w:rPr>
              <w:t>Council Treasury Report</w:t>
            </w:r>
          </w:p>
          <w:p w14:paraId="56A438A0" w14:textId="77777777" w:rsidR="005C0A3A" w:rsidRPr="005C0A3A" w:rsidRDefault="005C0A3A" w:rsidP="005C0A3A">
            <w:pPr>
              <w:pStyle w:val="ListParagraph"/>
              <w:numPr>
                <w:ilvl w:val="0"/>
                <w:numId w:val="3"/>
              </w:numPr>
              <w:rPr>
                <w:rFonts w:ascii="Arial" w:hAnsi="Arial" w:cs="Arial"/>
                <w:sz w:val="24"/>
                <w:szCs w:val="24"/>
              </w:rPr>
            </w:pPr>
            <w:r w:rsidRPr="005C0A3A">
              <w:rPr>
                <w:rFonts w:ascii="Arial" w:hAnsi="Arial" w:cs="Arial"/>
                <w:sz w:val="24"/>
                <w:szCs w:val="24"/>
              </w:rPr>
              <w:t>Bank reconciliation</w:t>
            </w:r>
          </w:p>
          <w:p w14:paraId="751D2405" w14:textId="77777777" w:rsidR="005C0A3A" w:rsidRPr="005C0A3A" w:rsidRDefault="005C0A3A" w:rsidP="005C0A3A">
            <w:pPr>
              <w:pStyle w:val="ListParagraph"/>
              <w:numPr>
                <w:ilvl w:val="0"/>
                <w:numId w:val="3"/>
              </w:numPr>
              <w:rPr>
                <w:rFonts w:ascii="Arial" w:hAnsi="Arial" w:cs="Arial"/>
                <w:sz w:val="24"/>
                <w:szCs w:val="24"/>
              </w:rPr>
            </w:pPr>
            <w:r w:rsidRPr="005C0A3A">
              <w:rPr>
                <w:rFonts w:ascii="Arial" w:hAnsi="Arial" w:cs="Arial"/>
                <w:sz w:val="24"/>
                <w:szCs w:val="24"/>
              </w:rPr>
              <w:t>Borrowing limits</w:t>
            </w:r>
          </w:p>
          <w:p w14:paraId="79FBC21C" w14:textId="77777777" w:rsidR="005C0A3A" w:rsidRPr="005C0A3A" w:rsidRDefault="005C0A3A" w:rsidP="005C0A3A">
            <w:pPr>
              <w:pStyle w:val="ListParagraph"/>
              <w:numPr>
                <w:ilvl w:val="0"/>
                <w:numId w:val="3"/>
              </w:numPr>
              <w:rPr>
                <w:rFonts w:ascii="Arial" w:hAnsi="Arial" w:cs="Arial"/>
                <w:sz w:val="24"/>
                <w:szCs w:val="24"/>
              </w:rPr>
            </w:pPr>
            <w:r w:rsidRPr="005C0A3A">
              <w:rPr>
                <w:rFonts w:ascii="Arial" w:hAnsi="Arial" w:cs="Arial"/>
                <w:sz w:val="24"/>
                <w:szCs w:val="24"/>
              </w:rPr>
              <w:t>Funding and Interest Position</w:t>
            </w:r>
          </w:p>
          <w:p w14:paraId="4A529466" w14:textId="77777777" w:rsidR="005C0A3A" w:rsidRPr="005C0A3A" w:rsidRDefault="005C0A3A" w:rsidP="005C0A3A">
            <w:pPr>
              <w:pStyle w:val="ListParagraph"/>
              <w:numPr>
                <w:ilvl w:val="0"/>
                <w:numId w:val="3"/>
              </w:numPr>
              <w:rPr>
                <w:rFonts w:ascii="Arial" w:hAnsi="Arial" w:cs="Arial"/>
                <w:sz w:val="24"/>
                <w:szCs w:val="24"/>
              </w:rPr>
            </w:pPr>
            <w:r w:rsidRPr="005C0A3A">
              <w:rPr>
                <w:rFonts w:ascii="Arial" w:hAnsi="Arial" w:cs="Arial"/>
                <w:sz w:val="24"/>
                <w:szCs w:val="24"/>
              </w:rPr>
              <w:t>Funding facility/usage</w:t>
            </w:r>
          </w:p>
          <w:p w14:paraId="5D13DA01" w14:textId="77777777" w:rsidR="005C0A3A" w:rsidRPr="005C0A3A" w:rsidRDefault="005C0A3A" w:rsidP="005C0A3A">
            <w:pPr>
              <w:pStyle w:val="ListParagraph"/>
              <w:numPr>
                <w:ilvl w:val="0"/>
                <w:numId w:val="3"/>
              </w:numPr>
              <w:rPr>
                <w:rFonts w:ascii="Arial" w:hAnsi="Arial" w:cs="Arial"/>
                <w:sz w:val="24"/>
                <w:szCs w:val="24"/>
              </w:rPr>
            </w:pPr>
            <w:r w:rsidRPr="005C0A3A">
              <w:rPr>
                <w:rFonts w:ascii="Arial" w:hAnsi="Arial" w:cs="Arial"/>
                <w:sz w:val="24"/>
                <w:szCs w:val="24"/>
              </w:rPr>
              <w:t>New treasury transactions</w:t>
            </w:r>
          </w:p>
          <w:p w14:paraId="5D9F471B" w14:textId="77777777" w:rsidR="005C0A3A" w:rsidRPr="005C0A3A" w:rsidRDefault="005C0A3A" w:rsidP="005C0A3A">
            <w:pPr>
              <w:pStyle w:val="ListParagraph"/>
              <w:numPr>
                <w:ilvl w:val="0"/>
                <w:numId w:val="3"/>
              </w:numPr>
              <w:rPr>
                <w:rFonts w:ascii="Arial" w:hAnsi="Arial" w:cs="Arial"/>
                <w:sz w:val="24"/>
                <w:szCs w:val="24"/>
              </w:rPr>
            </w:pPr>
            <w:r w:rsidRPr="005C0A3A">
              <w:rPr>
                <w:rFonts w:ascii="Arial" w:hAnsi="Arial" w:cs="Arial"/>
                <w:sz w:val="24"/>
                <w:szCs w:val="24"/>
              </w:rPr>
              <w:t>Cash flow forecast report</w:t>
            </w:r>
          </w:p>
          <w:p w14:paraId="4277C27B" w14:textId="77777777" w:rsidR="005C0A3A" w:rsidRPr="005C0A3A" w:rsidRDefault="005C0A3A" w:rsidP="005C0A3A">
            <w:pPr>
              <w:pStyle w:val="ListParagraph"/>
              <w:numPr>
                <w:ilvl w:val="0"/>
                <w:numId w:val="3"/>
              </w:numPr>
              <w:rPr>
                <w:rFonts w:ascii="Arial" w:hAnsi="Arial" w:cs="Arial"/>
                <w:sz w:val="24"/>
                <w:szCs w:val="24"/>
              </w:rPr>
            </w:pPr>
            <w:r w:rsidRPr="005C0A3A">
              <w:rPr>
                <w:rFonts w:ascii="Arial" w:hAnsi="Arial" w:cs="Arial"/>
                <w:sz w:val="24"/>
                <w:szCs w:val="24"/>
              </w:rPr>
              <w:t>Liquidity position</w:t>
            </w:r>
          </w:p>
          <w:p w14:paraId="076CC333" w14:textId="77777777" w:rsidR="005C0A3A" w:rsidRPr="005C0A3A" w:rsidRDefault="005C0A3A" w:rsidP="005C0A3A">
            <w:pPr>
              <w:pStyle w:val="ListParagraph"/>
              <w:numPr>
                <w:ilvl w:val="0"/>
                <w:numId w:val="3"/>
              </w:numPr>
              <w:rPr>
                <w:rFonts w:ascii="Arial" w:hAnsi="Arial" w:cs="Arial"/>
                <w:sz w:val="24"/>
                <w:szCs w:val="24"/>
              </w:rPr>
            </w:pPr>
            <w:r w:rsidRPr="005C0A3A">
              <w:rPr>
                <w:rFonts w:ascii="Arial" w:hAnsi="Arial" w:cs="Arial"/>
                <w:sz w:val="24"/>
                <w:szCs w:val="24"/>
              </w:rPr>
              <w:t>Foreign exchange</w:t>
            </w:r>
          </w:p>
          <w:p w14:paraId="72893F2F" w14:textId="77777777" w:rsidR="005C0A3A" w:rsidRPr="005C0A3A" w:rsidRDefault="005C0A3A" w:rsidP="005C0A3A">
            <w:pPr>
              <w:pStyle w:val="ListParagraph"/>
              <w:numPr>
                <w:ilvl w:val="0"/>
                <w:numId w:val="3"/>
              </w:numPr>
              <w:rPr>
                <w:rFonts w:ascii="Arial" w:hAnsi="Arial" w:cs="Arial"/>
                <w:sz w:val="24"/>
                <w:szCs w:val="24"/>
              </w:rPr>
            </w:pPr>
            <w:r w:rsidRPr="005C0A3A">
              <w:rPr>
                <w:rFonts w:ascii="Arial" w:hAnsi="Arial" w:cs="Arial"/>
                <w:sz w:val="24"/>
                <w:szCs w:val="24"/>
              </w:rPr>
              <w:t>Counterparty credit</w:t>
            </w:r>
          </w:p>
          <w:p w14:paraId="1649EF1B" w14:textId="77777777" w:rsidR="005C0A3A" w:rsidRPr="005C0A3A" w:rsidRDefault="005C0A3A" w:rsidP="005C0A3A">
            <w:pPr>
              <w:pStyle w:val="ListParagraph"/>
              <w:numPr>
                <w:ilvl w:val="0"/>
                <w:numId w:val="3"/>
              </w:numPr>
              <w:rPr>
                <w:rFonts w:ascii="Arial" w:hAnsi="Arial" w:cs="Arial"/>
                <w:sz w:val="24"/>
                <w:szCs w:val="24"/>
              </w:rPr>
            </w:pPr>
            <w:r w:rsidRPr="005C0A3A">
              <w:rPr>
                <w:rFonts w:ascii="Arial" w:hAnsi="Arial" w:cs="Arial"/>
                <w:sz w:val="24"/>
                <w:szCs w:val="24"/>
              </w:rPr>
              <w:lastRenderedPageBreak/>
              <w:t>Financial ratios (TEC and bank)</w:t>
            </w:r>
          </w:p>
          <w:p w14:paraId="2D668A32" w14:textId="77777777" w:rsidR="005C0A3A" w:rsidRPr="005C0A3A" w:rsidRDefault="005C0A3A" w:rsidP="005C0A3A">
            <w:pPr>
              <w:pStyle w:val="ListParagraph"/>
              <w:numPr>
                <w:ilvl w:val="0"/>
                <w:numId w:val="3"/>
              </w:numPr>
              <w:rPr>
                <w:rFonts w:ascii="Arial" w:hAnsi="Arial" w:cs="Arial"/>
                <w:sz w:val="24"/>
                <w:szCs w:val="24"/>
              </w:rPr>
            </w:pPr>
            <w:r w:rsidRPr="005C0A3A">
              <w:rPr>
                <w:rFonts w:ascii="Arial" w:hAnsi="Arial" w:cs="Arial"/>
                <w:sz w:val="24"/>
                <w:szCs w:val="24"/>
              </w:rPr>
              <w:t>Derivative valuations</w:t>
            </w:r>
          </w:p>
          <w:p w14:paraId="51D05A28" w14:textId="77777777" w:rsidR="005C0A3A" w:rsidRPr="005C0A3A" w:rsidRDefault="005C0A3A" w:rsidP="005C0A3A">
            <w:pPr>
              <w:pStyle w:val="ListParagraph"/>
              <w:numPr>
                <w:ilvl w:val="0"/>
                <w:numId w:val="3"/>
              </w:numPr>
              <w:rPr>
                <w:rFonts w:ascii="Arial" w:hAnsi="Arial" w:cs="Arial"/>
                <w:sz w:val="24"/>
                <w:szCs w:val="24"/>
              </w:rPr>
            </w:pPr>
            <w:r w:rsidRPr="005C0A3A">
              <w:rPr>
                <w:rFonts w:ascii="Arial" w:hAnsi="Arial" w:cs="Arial"/>
                <w:sz w:val="24"/>
                <w:szCs w:val="24"/>
              </w:rPr>
              <w:t>Treasury performance</w:t>
            </w:r>
          </w:p>
          <w:p w14:paraId="411FA100" w14:textId="77777777" w:rsidR="005C0A3A" w:rsidRPr="005C0A3A" w:rsidRDefault="005C0A3A" w:rsidP="005C0A3A">
            <w:pPr>
              <w:pStyle w:val="ListParagraph"/>
              <w:numPr>
                <w:ilvl w:val="0"/>
                <w:numId w:val="3"/>
              </w:numPr>
              <w:rPr>
                <w:rFonts w:ascii="Arial" w:hAnsi="Arial" w:cs="Arial"/>
                <w:sz w:val="24"/>
                <w:szCs w:val="24"/>
              </w:rPr>
            </w:pPr>
            <w:r w:rsidRPr="005C0A3A">
              <w:rPr>
                <w:rFonts w:ascii="Arial" w:hAnsi="Arial" w:cs="Arial"/>
                <w:sz w:val="24"/>
                <w:szCs w:val="24"/>
              </w:rPr>
              <w:t>Market/strategy commentary/update</w:t>
            </w:r>
          </w:p>
          <w:p w14:paraId="75704920" w14:textId="77777777" w:rsidR="005C0A3A" w:rsidRPr="005C0A3A" w:rsidRDefault="005C0A3A" w:rsidP="005C0A3A">
            <w:pPr>
              <w:pStyle w:val="ListParagraph"/>
              <w:numPr>
                <w:ilvl w:val="0"/>
                <w:numId w:val="3"/>
              </w:numPr>
              <w:rPr>
                <w:rFonts w:ascii="Arial" w:hAnsi="Arial" w:cs="Arial"/>
                <w:sz w:val="24"/>
                <w:szCs w:val="24"/>
              </w:rPr>
            </w:pPr>
            <w:r w:rsidRPr="005C0A3A">
              <w:rPr>
                <w:rFonts w:ascii="Arial" w:hAnsi="Arial" w:cs="Arial"/>
                <w:sz w:val="24"/>
                <w:szCs w:val="24"/>
              </w:rPr>
              <w:t>Treasury Exceptions Report</w:t>
            </w:r>
          </w:p>
        </w:tc>
        <w:tc>
          <w:tcPr>
            <w:tcW w:w="1417" w:type="dxa"/>
          </w:tcPr>
          <w:p w14:paraId="6FB23F71" w14:textId="77777777" w:rsidR="005C0A3A" w:rsidRPr="005C0A3A" w:rsidRDefault="005C0A3A" w:rsidP="009D7107">
            <w:pPr>
              <w:rPr>
                <w:rFonts w:ascii="Arial" w:hAnsi="Arial" w:cs="Arial"/>
                <w:sz w:val="24"/>
                <w:szCs w:val="24"/>
              </w:rPr>
            </w:pPr>
            <w:r w:rsidRPr="005C0A3A">
              <w:rPr>
                <w:rFonts w:ascii="Arial" w:hAnsi="Arial" w:cs="Arial"/>
                <w:sz w:val="24"/>
                <w:szCs w:val="24"/>
              </w:rPr>
              <w:lastRenderedPageBreak/>
              <w:t>Quarterly or relevant meeting date</w:t>
            </w:r>
          </w:p>
        </w:tc>
        <w:tc>
          <w:tcPr>
            <w:tcW w:w="1843" w:type="dxa"/>
          </w:tcPr>
          <w:p w14:paraId="2438C4C5" w14:textId="77777777" w:rsidR="005C0A3A" w:rsidRPr="005C0A3A" w:rsidRDefault="005C0A3A" w:rsidP="009D7107">
            <w:pPr>
              <w:rPr>
                <w:rFonts w:ascii="Arial" w:hAnsi="Arial" w:cs="Arial"/>
                <w:sz w:val="24"/>
                <w:szCs w:val="24"/>
              </w:rPr>
            </w:pPr>
            <w:r w:rsidRPr="005C0A3A">
              <w:rPr>
                <w:rFonts w:ascii="Arial" w:hAnsi="Arial" w:cs="Arial"/>
                <w:sz w:val="24"/>
                <w:szCs w:val="24"/>
              </w:rPr>
              <w:t>Finance Team</w:t>
            </w:r>
          </w:p>
        </w:tc>
        <w:tc>
          <w:tcPr>
            <w:tcW w:w="1843" w:type="dxa"/>
          </w:tcPr>
          <w:p w14:paraId="30E170A4" w14:textId="77777777" w:rsidR="005C0A3A" w:rsidRPr="005C0A3A" w:rsidRDefault="005C0A3A" w:rsidP="005C0A3A">
            <w:pPr>
              <w:pStyle w:val="ListParagraph"/>
              <w:numPr>
                <w:ilvl w:val="0"/>
                <w:numId w:val="5"/>
              </w:numPr>
              <w:rPr>
                <w:rFonts w:ascii="Arial" w:hAnsi="Arial" w:cs="Arial"/>
                <w:sz w:val="24"/>
                <w:szCs w:val="24"/>
              </w:rPr>
            </w:pPr>
            <w:r w:rsidRPr="005C0A3A">
              <w:rPr>
                <w:rFonts w:ascii="Arial" w:hAnsi="Arial" w:cs="Arial"/>
                <w:sz w:val="24"/>
                <w:szCs w:val="24"/>
              </w:rPr>
              <w:t>Finance, Risk and Audit Committee</w:t>
            </w:r>
          </w:p>
          <w:p w14:paraId="53AB0A76" w14:textId="77777777" w:rsidR="005C0A3A" w:rsidRPr="005C0A3A" w:rsidRDefault="005C0A3A" w:rsidP="005C0A3A">
            <w:pPr>
              <w:pStyle w:val="ListParagraph"/>
              <w:numPr>
                <w:ilvl w:val="0"/>
                <w:numId w:val="5"/>
              </w:numPr>
              <w:rPr>
                <w:rFonts w:ascii="Arial" w:hAnsi="Arial" w:cs="Arial"/>
                <w:sz w:val="24"/>
                <w:szCs w:val="24"/>
              </w:rPr>
            </w:pPr>
            <w:r w:rsidRPr="005C0A3A">
              <w:rPr>
                <w:rFonts w:ascii="Arial" w:hAnsi="Arial" w:cs="Arial"/>
                <w:sz w:val="24"/>
                <w:szCs w:val="24"/>
              </w:rPr>
              <w:t>Council</w:t>
            </w:r>
          </w:p>
        </w:tc>
      </w:tr>
    </w:tbl>
    <w:p w14:paraId="6A24FE8C" w14:textId="77777777" w:rsidR="005C0A3A" w:rsidRPr="00EA720E" w:rsidRDefault="005C0A3A" w:rsidP="005C0A3A">
      <w:pPr>
        <w:rPr>
          <w:b/>
          <w:bCs/>
          <w:sz w:val="40"/>
          <w:szCs w:val="40"/>
        </w:rPr>
      </w:pPr>
    </w:p>
    <w:p w14:paraId="15C50C61" w14:textId="77777777" w:rsidR="00CC0D78" w:rsidRPr="004E062E" w:rsidRDefault="00CC0D78">
      <w:pPr>
        <w:rPr>
          <w:rFonts w:ascii="Arial" w:hAnsi="Arial" w:cs="Arial"/>
        </w:rPr>
      </w:pPr>
    </w:p>
    <w:sectPr w:rsidR="00CC0D78" w:rsidRPr="004E06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A43DD"/>
    <w:multiLevelType w:val="hybridMultilevel"/>
    <w:tmpl w:val="8C1EBB4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312632CE"/>
    <w:multiLevelType w:val="multilevel"/>
    <w:tmpl w:val="23B8C1B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2028E1"/>
    <w:multiLevelType w:val="hybridMultilevel"/>
    <w:tmpl w:val="10F8766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8584550"/>
    <w:multiLevelType w:val="hybridMultilevel"/>
    <w:tmpl w:val="A65823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9D75605"/>
    <w:multiLevelType w:val="hybridMultilevel"/>
    <w:tmpl w:val="88EE77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62263265">
    <w:abstractNumId w:val="1"/>
  </w:num>
  <w:num w:numId="2" w16cid:durableId="1309748187">
    <w:abstractNumId w:val="3"/>
  </w:num>
  <w:num w:numId="3" w16cid:durableId="844518956">
    <w:abstractNumId w:val="0"/>
  </w:num>
  <w:num w:numId="4" w16cid:durableId="852644013">
    <w:abstractNumId w:val="2"/>
  </w:num>
  <w:num w:numId="5" w16cid:durableId="920211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3A"/>
    <w:rsid w:val="004E062E"/>
    <w:rsid w:val="005C0A3A"/>
    <w:rsid w:val="006D21E2"/>
    <w:rsid w:val="00B37240"/>
    <w:rsid w:val="00CC0D78"/>
    <w:rsid w:val="00EF14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656EF"/>
  <w15:chartTrackingRefBased/>
  <w15:docId w15:val="{A7B143A7-9434-4987-B2EB-9F65E831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A3A"/>
  </w:style>
  <w:style w:type="paragraph" w:styleId="Heading1">
    <w:name w:val="heading 1"/>
    <w:basedOn w:val="Normal"/>
    <w:next w:val="Normal"/>
    <w:link w:val="Heading1Char"/>
    <w:uiPriority w:val="9"/>
    <w:qFormat/>
    <w:rsid w:val="005C0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A3A"/>
    <w:rPr>
      <w:rFonts w:eastAsiaTheme="majorEastAsia" w:cstheme="majorBidi"/>
      <w:color w:val="272727" w:themeColor="text1" w:themeTint="D8"/>
    </w:rPr>
  </w:style>
  <w:style w:type="paragraph" w:styleId="Title">
    <w:name w:val="Title"/>
    <w:basedOn w:val="Normal"/>
    <w:next w:val="Normal"/>
    <w:link w:val="TitleChar"/>
    <w:uiPriority w:val="10"/>
    <w:qFormat/>
    <w:rsid w:val="005C0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A3A"/>
    <w:pPr>
      <w:spacing w:before="160"/>
      <w:jc w:val="center"/>
    </w:pPr>
    <w:rPr>
      <w:i/>
      <w:iCs/>
      <w:color w:val="404040" w:themeColor="text1" w:themeTint="BF"/>
    </w:rPr>
  </w:style>
  <w:style w:type="character" w:customStyle="1" w:styleId="QuoteChar">
    <w:name w:val="Quote Char"/>
    <w:basedOn w:val="DefaultParagraphFont"/>
    <w:link w:val="Quote"/>
    <w:uiPriority w:val="29"/>
    <w:rsid w:val="005C0A3A"/>
    <w:rPr>
      <w:i/>
      <w:iCs/>
      <w:color w:val="404040" w:themeColor="text1" w:themeTint="BF"/>
    </w:rPr>
  </w:style>
  <w:style w:type="paragraph" w:styleId="ListParagraph">
    <w:name w:val="List Paragraph"/>
    <w:basedOn w:val="Normal"/>
    <w:uiPriority w:val="34"/>
    <w:qFormat/>
    <w:rsid w:val="005C0A3A"/>
    <w:pPr>
      <w:ind w:left="720"/>
      <w:contextualSpacing/>
    </w:pPr>
  </w:style>
  <w:style w:type="character" w:styleId="IntenseEmphasis">
    <w:name w:val="Intense Emphasis"/>
    <w:basedOn w:val="DefaultParagraphFont"/>
    <w:uiPriority w:val="21"/>
    <w:qFormat/>
    <w:rsid w:val="005C0A3A"/>
    <w:rPr>
      <w:i/>
      <w:iCs/>
      <w:color w:val="0F4761" w:themeColor="accent1" w:themeShade="BF"/>
    </w:rPr>
  </w:style>
  <w:style w:type="paragraph" w:styleId="IntenseQuote">
    <w:name w:val="Intense Quote"/>
    <w:basedOn w:val="Normal"/>
    <w:next w:val="Normal"/>
    <w:link w:val="IntenseQuoteChar"/>
    <w:uiPriority w:val="30"/>
    <w:qFormat/>
    <w:rsid w:val="005C0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A3A"/>
    <w:rPr>
      <w:i/>
      <w:iCs/>
      <w:color w:val="0F4761" w:themeColor="accent1" w:themeShade="BF"/>
    </w:rPr>
  </w:style>
  <w:style w:type="character" w:styleId="IntenseReference">
    <w:name w:val="Intense Reference"/>
    <w:basedOn w:val="DefaultParagraphFont"/>
    <w:uiPriority w:val="32"/>
    <w:qFormat/>
    <w:rsid w:val="005C0A3A"/>
    <w:rPr>
      <w:b/>
      <w:bCs/>
      <w:smallCaps/>
      <w:color w:val="0F4761" w:themeColor="accent1" w:themeShade="BF"/>
      <w:spacing w:val="5"/>
    </w:rPr>
  </w:style>
  <w:style w:type="table" w:styleId="TableGrid">
    <w:name w:val="Table Grid"/>
    <w:basedOn w:val="TableNormal"/>
    <w:uiPriority w:val="39"/>
    <w:rsid w:val="005C0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1678</Characters>
  <Application>Microsoft Office Word</Application>
  <DocSecurity>0</DocSecurity>
  <Lines>50</Lines>
  <Paragraphs>35</Paragraphs>
  <ScaleCrop>false</ScaleCrop>
  <Company>Otago Polytechnic</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O'Fee</dc:creator>
  <cp:keywords/>
  <dc:description/>
  <cp:lastModifiedBy>Jeanette O'Fee</cp:lastModifiedBy>
  <cp:revision>1</cp:revision>
  <dcterms:created xsi:type="dcterms:W3CDTF">2026-01-11T20:58:00Z</dcterms:created>
  <dcterms:modified xsi:type="dcterms:W3CDTF">2026-01-11T20:59:00Z</dcterms:modified>
</cp:coreProperties>
</file>