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5720E" w14:textId="77777777" w:rsidR="0020385E" w:rsidRPr="00EA720E" w:rsidRDefault="0020385E" w:rsidP="0020385E">
      <w:pPr>
        <w:rPr>
          <w:b/>
          <w:bCs/>
          <w:sz w:val="40"/>
          <w:szCs w:val="40"/>
        </w:rPr>
      </w:pPr>
      <w:r w:rsidRPr="00EA720E">
        <w:rPr>
          <w:b/>
          <w:bCs/>
          <w:sz w:val="40"/>
          <w:szCs w:val="40"/>
        </w:rPr>
        <w:t>Appendix H – Existing TEC and Bank Financial Ratios and Limits</w:t>
      </w:r>
    </w:p>
    <w:p w14:paraId="3AA559EE" w14:textId="77777777" w:rsidR="0020385E" w:rsidRPr="00EA720E" w:rsidRDefault="0020385E" w:rsidP="0020385E">
      <w:pPr>
        <w:rPr>
          <w:b/>
          <w:bCs/>
          <w:sz w:val="28"/>
          <w:szCs w:val="28"/>
        </w:rPr>
      </w:pPr>
      <w:r w:rsidRPr="004E2E37">
        <w:rPr>
          <w:rFonts w:eastAsia="Times New Roman" w:cs="Calibri"/>
          <w:color w:val="000000"/>
          <w:kern w:val="0"/>
          <w:sz w:val="28"/>
          <w:szCs w:val="28"/>
          <w:lang w:val="en-US" w:eastAsia="en-NZ"/>
          <w14:ligatures w14:val="none"/>
        </w:rPr>
        <w:t>Tertiary Education Commission</w:t>
      </w:r>
      <w:r w:rsidRPr="00EA720E">
        <w:rPr>
          <w:rFonts w:eastAsia="Times New Roman" w:cs="Calibri"/>
          <w:color w:val="000000"/>
          <w:kern w:val="0"/>
          <w:sz w:val="28"/>
          <w:szCs w:val="28"/>
          <w:lang w:val="en-US" w:eastAsia="en-NZ"/>
          <w14:ligatures w14:val="none"/>
        </w:rPr>
        <w:t xml:space="preserve"> Financial Monitoring Framework</w:t>
      </w:r>
    </w:p>
    <w:p w14:paraId="7477C6F1" w14:textId="77777777" w:rsidR="0020385E" w:rsidRPr="0020385E" w:rsidRDefault="0020385E" w:rsidP="0020385E">
      <w:pPr>
        <w:spacing w:after="0" w:line="240" w:lineRule="auto"/>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val="en-US" w:eastAsia="en-NZ"/>
          <w14:ligatures w14:val="none"/>
        </w:rPr>
        <w:t>One of the Tertiary Education Commission’s (TEC) core functions is to monitor tertiary education institutions (TEIs) and report to the Minister responsible for Tertiary Education on the financial performance of the tertiary sector. There are two primary sections within the Education and Training Act 2020 (the Act) that set the foundation of the TEC’s monitoring of TEIs’ operations and viability. These are: </w:t>
      </w:r>
      <w:r w:rsidRPr="0020385E">
        <w:rPr>
          <w:rFonts w:ascii="Arial" w:eastAsia="Times New Roman" w:hAnsi="Arial" w:cs="Arial"/>
          <w:color w:val="000000"/>
          <w:kern w:val="0"/>
          <w:sz w:val="24"/>
          <w:szCs w:val="24"/>
          <w:lang w:eastAsia="en-NZ"/>
          <w14:ligatures w14:val="none"/>
        </w:rPr>
        <w:t> </w:t>
      </w:r>
    </w:p>
    <w:p w14:paraId="3217F055" w14:textId="77777777" w:rsidR="0020385E" w:rsidRPr="0020385E" w:rsidRDefault="0020385E" w:rsidP="0020385E">
      <w:pPr>
        <w:numPr>
          <w:ilvl w:val="0"/>
          <w:numId w:val="1"/>
        </w:numPr>
        <w:spacing w:after="0" w:line="240" w:lineRule="auto"/>
        <w:ind w:left="1080" w:firstLine="0"/>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val="en-US" w:eastAsia="en-NZ"/>
          <w14:ligatures w14:val="none"/>
        </w:rPr>
        <w:t>Section 281(1)(e) of the Act requires that a TEI Council must “ensure that the institution operates in a financially responsible manner that ensures efficient use of resources and maintains the institution’s long-term viability”. </w:t>
      </w:r>
      <w:r w:rsidRPr="0020385E">
        <w:rPr>
          <w:rFonts w:ascii="Arial" w:eastAsia="Times New Roman" w:hAnsi="Arial" w:cs="Arial"/>
          <w:color w:val="000000"/>
          <w:kern w:val="0"/>
          <w:sz w:val="24"/>
          <w:szCs w:val="24"/>
          <w:lang w:eastAsia="en-NZ"/>
          <w14:ligatures w14:val="none"/>
        </w:rPr>
        <w:t> </w:t>
      </w:r>
    </w:p>
    <w:p w14:paraId="5B6BAC31" w14:textId="77777777" w:rsidR="0020385E" w:rsidRPr="0020385E" w:rsidRDefault="0020385E" w:rsidP="0020385E">
      <w:pPr>
        <w:numPr>
          <w:ilvl w:val="0"/>
          <w:numId w:val="2"/>
        </w:numPr>
        <w:spacing w:after="0" w:line="240" w:lineRule="auto"/>
        <w:ind w:left="1080" w:firstLine="0"/>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val="en-US" w:eastAsia="en-NZ"/>
          <w14:ligatures w14:val="none"/>
        </w:rPr>
        <w:t>Section 405(1)(a) of the Act states that the Chief Executive of the TEC “must, on an ongoing basis, monitor institutions that receive funding in order to assess whether the operation or long-term viability of any of those institutions is at risk”.</w:t>
      </w:r>
      <w:r w:rsidRPr="0020385E">
        <w:rPr>
          <w:rFonts w:ascii="Arial" w:eastAsia="Times New Roman" w:hAnsi="Arial" w:cs="Arial"/>
          <w:color w:val="000000"/>
          <w:kern w:val="0"/>
          <w:sz w:val="24"/>
          <w:szCs w:val="24"/>
          <w:lang w:eastAsia="en-NZ"/>
          <w14:ligatures w14:val="none"/>
        </w:rPr>
        <w:t> </w:t>
      </w:r>
    </w:p>
    <w:p w14:paraId="4CB9C04C" w14:textId="77777777" w:rsidR="0020385E" w:rsidRPr="0020385E" w:rsidRDefault="0020385E" w:rsidP="0020385E">
      <w:pPr>
        <w:spacing w:after="0" w:line="240" w:lineRule="auto"/>
        <w:ind w:left="720"/>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kern w:val="0"/>
          <w:sz w:val="24"/>
          <w:szCs w:val="24"/>
          <w:lang w:eastAsia="en-NZ"/>
          <w14:ligatures w14:val="none"/>
        </w:rPr>
        <w:t> </w:t>
      </w:r>
    </w:p>
    <w:p w14:paraId="0D12FE0D" w14:textId="77777777" w:rsidR="0020385E" w:rsidRPr="0020385E" w:rsidRDefault="0020385E" w:rsidP="0020385E">
      <w:pPr>
        <w:spacing w:after="0" w:line="240" w:lineRule="auto"/>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val="en-US" w:eastAsia="en-NZ"/>
          <w14:ligatures w14:val="none"/>
        </w:rPr>
        <w:t xml:space="preserve">The FMF is a tool used to monitor TEIs' financial performance. Set out in the table below is the FMF metrics for the Profitability, Liquidity and Debt Affordability Ratios. </w:t>
      </w:r>
    </w:p>
    <w:p w14:paraId="2CA8F56B" w14:textId="77777777" w:rsidR="0020385E" w:rsidRPr="004E2E37" w:rsidRDefault="0020385E" w:rsidP="0020385E">
      <w:pPr>
        <w:spacing w:after="0" w:line="240" w:lineRule="auto"/>
        <w:textAlignment w:val="baseline"/>
        <w:rPr>
          <w:rFonts w:eastAsia="Times New Roman" w:cs="Segoe UI"/>
          <w:i/>
          <w:iCs/>
          <w:color w:val="0E2841"/>
          <w:kern w:val="0"/>
          <w:sz w:val="18"/>
          <w:szCs w:val="18"/>
          <w:lang w:eastAsia="en-NZ"/>
          <w14:ligatures w14:val="none"/>
        </w:rPr>
      </w:pPr>
    </w:p>
    <w:tbl>
      <w:tblPr>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0"/>
        <w:gridCol w:w="1624"/>
        <w:gridCol w:w="1558"/>
        <w:gridCol w:w="691"/>
        <w:gridCol w:w="691"/>
        <w:gridCol w:w="758"/>
        <w:gridCol w:w="691"/>
        <w:gridCol w:w="838"/>
        <w:gridCol w:w="725"/>
        <w:gridCol w:w="113"/>
      </w:tblGrid>
      <w:tr w:rsidR="0020385E" w:rsidRPr="0020385E" w14:paraId="0AEFC1A3" w14:textId="77777777" w:rsidTr="0020385E">
        <w:trPr>
          <w:gridAfter w:val="1"/>
          <w:wAfter w:w="135" w:type="dxa"/>
          <w:trHeight w:val="810"/>
        </w:trPr>
        <w:tc>
          <w:tcPr>
            <w:tcW w:w="1463" w:type="dxa"/>
            <w:vAlign w:val="center"/>
            <w:hideMark/>
          </w:tcPr>
          <w:p w14:paraId="68DBC24A"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b/>
                <w:bCs/>
                <w:color w:val="000000"/>
                <w:kern w:val="0"/>
                <w:sz w:val="24"/>
                <w:szCs w:val="24"/>
                <w:lang w:eastAsia="en-NZ"/>
                <w14:ligatures w14:val="none"/>
              </w:rPr>
              <w:t>Measures</w:t>
            </w:r>
            <w:r w:rsidRPr="0020385E">
              <w:rPr>
                <w:rFonts w:ascii="Arial" w:eastAsia="Times New Roman" w:hAnsi="Arial" w:cs="Arial"/>
                <w:color w:val="000000"/>
                <w:kern w:val="0"/>
                <w:sz w:val="24"/>
                <w:szCs w:val="24"/>
                <w:lang w:eastAsia="en-NZ"/>
                <w14:ligatures w14:val="none"/>
              </w:rPr>
              <w:t> </w:t>
            </w:r>
          </w:p>
        </w:tc>
        <w:tc>
          <w:tcPr>
            <w:tcW w:w="1595" w:type="dxa"/>
            <w:vAlign w:val="center"/>
            <w:hideMark/>
          </w:tcPr>
          <w:p w14:paraId="51B98878"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b/>
                <w:bCs/>
                <w:color w:val="000000"/>
                <w:kern w:val="0"/>
                <w:sz w:val="24"/>
                <w:szCs w:val="24"/>
                <w:lang w:eastAsia="en-NZ"/>
                <w14:ligatures w14:val="none"/>
              </w:rPr>
              <w:t>Ratio</w:t>
            </w:r>
            <w:r w:rsidRPr="0020385E">
              <w:rPr>
                <w:rFonts w:ascii="Arial" w:eastAsia="Times New Roman" w:hAnsi="Arial" w:cs="Arial"/>
                <w:color w:val="000000"/>
                <w:kern w:val="0"/>
                <w:sz w:val="24"/>
                <w:szCs w:val="24"/>
                <w:lang w:eastAsia="en-NZ"/>
                <w14:ligatures w14:val="none"/>
              </w:rPr>
              <w:t> </w:t>
            </w:r>
          </w:p>
        </w:tc>
        <w:tc>
          <w:tcPr>
            <w:tcW w:w="2324" w:type="dxa"/>
            <w:vAlign w:val="center"/>
            <w:hideMark/>
          </w:tcPr>
          <w:p w14:paraId="55B53989"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b/>
                <w:bCs/>
                <w:color w:val="000000"/>
                <w:kern w:val="0"/>
                <w:sz w:val="24"/>
                <w:szCs w:val="24"/>
                <w:lang w:eastAsia="en-NZ"/>
                <w14:ligatures w14:val="none"/>
              </w:rPr>
              <w:t>Definition / calculation</w:t>
            </w:r>
            <w:r w:rsidRPr="0020385E">
              <w:rPr>
                <w:rFonts w:ascii="Arial" w:eastAsia="Times New Roman" w:hAnsi="Arial" w:cs="Arial"/>
                <w:color w:val="000000"/>
                <w:kern w:val="0"/>
                <w:sz w:val="24"/>
                <w:szCs w:val="24"/>
                <w:lang w:eastAsia="en-NZ"/>
                <w14:ligatures w14:val="none"/>
              </w:rPr>
              <w:t> </w:t>
            </w:r>
          </w:p>
        </w:tc>
        <w:tc>
          <w:tcPr>
            <w:tcW w:w="3634" w:type="dxa"/>
            <w:gridSpan w:val="6"/>
            <w:vAlign w:val="center"/>
            <w:hideMark/>
          </w:tcPr>
          <w:p w14:paraId="246D23B9" w14:textId="77777777" w:rsidR="0020385E" w:rsidRPr="0020385E" w:rsidRDefault="0020385E" w:rsidP="009D7107">
            <w:pPr>
              <w:spacing w:after="0" w:line="240" w:lineRule="auto"/>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b/>
                <w:bCs/>
                <w:i/>
                <w:iCs/>
                <w:color w:val="000000"/>
                <w:kern w:val="0"/>
                <w:sz w:val="24"/>
                <w:szCs w:val="24"/>
                <w:lang w:eastAsia="en-NZ"/>
                <w14:ligatures w14:val="none"/>
              </w:rPr>
              <w:t>Scoring table performance bands:</w:t>
            </w:r>
            <w:r w:rsidRPr="0020385E">
              <w:rPr>
                <w:rFonts w:ascii="Arial" w:eastAsia="Times New Roman" w:hAnsi="Arial" w:cs="Arial"/>
                <w:color w:val="000000"/>
                <w:kern w:val="0"/>
                <w:sz w:val="24"/>
                <w:szCs w:val="24"/>
                <w:lang w:eastAsia="en-NZ"/>
                <w14:ligatures w14:val="none"/>
              </w:rPr>
              <w:t> </w:t>
            </w:r>
          </w:p>
          <w:p w14:paraId="0A0039B7" w14:textId="77777777" w:rsidR="0020385E" w:rsidRPr="0020385E" w:rsidRDefault="0020385E" w:rsidP="0020385E">
            <w:pPr>
              <w:spacing w:after="0" w:line="240" w:lineRule="auto"/>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i/>
                <w:iCs/>
                <w:color w:val="000000"/>
                <w:kern w:val="0"/>
                <w:sz w:val="24"/>
                <w:szCs w:val="24"/>
                <w:lang w:eastAsia="en-NZ"/>
                <w14:ligatures w14:val="none"/>
              </w:rPr>
              <w:t xml:space="preserve">A score of &gt;3 is considered </w:t>
            </w:r>
            <w:r w:rsidRPr="0020385E">
              <w:rPr>
                <w:rFonts w:ascii="Arial" w:eastAsia="Times New Roman" w:hAnsi="Arial" w:cs="Arial"/>
                <w:i/>
                <w:iCs/>
                <w:color w:val="4EA72E"/>
                <w:kern w:val="0"/>
                <w:sz w:val="24"/>
                <w:szCs w:val="24"/>
                <w:lang w:eastAsia="en-NZ"/>
                <w14:ligatures w14:val="none"/>
              </w:rPr>
              <w:t>low risk.</w:t>
            </w:r>
            <w:r w:rsidRPr="0020385E">
              <w:rPr>
                <w:rFonts w:ascii="Arial" w:eastAsia="Times New Roman" w:hAnsi="Arial" w:cs="Arial"/>
                <w:color w:val="4EA72E"/>
                <w:kern w:val="0"/>
                <w:sz w:val="24"/>
                <w:szCs w:val="24"/>
                <w:lang w:eastAsia="en-NZ"/>
                <w14:ligatures w14:val="none"/>
              </w:rPr>
              <w:t> </w:t>
            </w:r>
          </w:p>
          <w:p w14:paraId="45B2DC39" w14:textId="77777777" w:rsidR="0020385E" w:rsidRPr="0020385E" w:rsidRDefault="0020385E" w:rsidP="0020385E">
            <w:pPr>
              <w:spacing w:after="0" w:line="240" w:lineRule="auto"/>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i/>
                <w:iCs/>
                <w:color w:val="000000"/>
                <w:kern w:val="0"/>
                <w:sz w:val="24"/>
                <w:szCs w:val="24"/>
                <w:lang w:eastAsia="en-NZ"/>
                <w14:ligatures w14:val="none"/>
              </w:rPr>
              <w:t xml:space="preserve">A score of 2-3 is considered </w:t>
            </w:r>
            <w:r w:rsidRPr="0020385E">
              <w:rPr>
                <w:rFonts w:ascii="Arial" w:eastAsia="Times New Roman" w:hAnsi="Arial" w:cs="Arial"/>
                <w:i/>
                <w:iCs/>
                <w:color w:val="E97132"/>
                <w:kern w:val="0"/>
                <w:sz w:val="24"/>
                <w:szCs w:val="24"/>
                <w:lang w:eastAsia="en-NZ"/>
                <w14:ligatures w14:val="none"/>
              </w:rPr>
              <w:t>moderate risk.</w:t>
            </w:r>
            <w:r w:rsidRPr="0020385E">
              <w:rPr>
                <w:rFonts w:ascii="Arial" w:eastAsia="Times New Roman" w:hAnsi="Arial" w:cs="Arial"/>
                <w:color w:val="E97132"/>
                <w:kern w:val="0"/>
                <w:sz w:val="24"/>
                <w:szCs w:val="24"/>
                <w:lang w:eastAsia="en-NZ"/>
                <w14:ligatures w14:val="none"/>
              </w:rPr>
              <w:t> </w:t>
            </w:r>
          </w:p>
          <w:p w14:paraId="79B76021" w14:textId="77777777" w:rsidR="0020385E" w:rsidRPr="0020385E" w:rsidRDefault="0020385E" w:rsidP="0020385E">
            <w:pPr>
              <w:spacing w:after="0" w:line="240" w:lineRule="auto"/>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i/>
                <w:iCs/>
                <w:color w:val="000000"/>
                <w:kern w:val="0"/>
                <w:sz w:val="24"/>
                <w:szCs w:val="24"/>
                <w:lang w:eastAsia="en-NZ"/>
                <w14:ligatures w14:val="none"/>
              </w:rPr>
              <w:t xml:space="preserve">A score of &lt;2 is considered </w:t>
            </w:r>
            <w:r w:rsidRPr="0020385E">
              <w:rPr>
                <w:rFonts w:ascii="Arial" w:eastAsia="Times New Roman" w:hAnsi="Arial" w:cs="Arial"/>
                <w:i/>
                <w:iCs/>
                <w:color w:val="FF0000"/>
                <w:kern w:val="0"/>
                <w:sz w:val="24"/>
                <w:szCs w:val="24"/>
                <w:lang w:eastAsia="en-NZ"/>
                <w14:ligatures w14:val="none"/>
              </w:rPr>
              <w:t>high risk</w:t>
            </w:r>
            <w:r w:rsidRPr="0020385E">
              <w:rPr>
                <w:rFonts w:ascii="Arial" w:eastAsia="Times New Roman" w:hAnsi="Arial" w:cs="Arial"/>
                <w:color w:val="FF0000"/>
                <w:kern w:val="0"/>
                <w:sz w:val="24"/>
                <w:szCs w:val="24"/>
                <w:lang w:eastAsia="en-NZ"/>
                <w14:ligatures w14:val="none"/>
              </w:rPr>
              <w:t> </w:t>
            </w:r>
          </w:p>
        </w:tc>
      </w:tr>
      <w:tr w:rsidR="0020385E" w:rsidRPr="0020385E" w14:paraId="186728EA" w14:textId="77777777" w:rsidTr="0020385E">
        <w:trPr>
          <w:trHeight w:val="225"/>
        </w:trPr>
        <w:tc>
          <w:tcPr>
            <w:tcW w:w="3058" w:type="dxa"/>
            <w:gridSpan w:val="2"/>
            <w:shd w:val="clear" w:color="auto" w:fill="E7E7E7"/>
            <w:vAlign w:val="center"/>
            <w:hideMark/>
          </w:tcPr>
          <w:p w14:paraId="2AE43035" w14:textId="77777777" w:rsidR="0020385E" w:rsidRPr="0020385E" w:rsidRDefault="0020385E" w:rsidP="009D7107">
            <w:pPr>
              <w:spacing w:after="0" w:line="240" w:lineRule="auto"/>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kern w:val="0"/>
                <w:sz w:val="24"/>
                <w:szCs w:val="24"/>
                <w:lang w:eastAsia="en-NZ"/>
                <w14:ligatures w14:val="none"/>
              </w:rPr>
              <w:t> </w:t>
            </w:r>
          </w:p>
        </w:tc>
        <w:tc>
          <w:tcPr>
            <w:tcW w:w="2324" w:type="dxa"/>
            <w:shd w:val="clear" w:color="auto" w:fill="E7E7E7"/>
            <w:vAlign w:val="center"/>
            <w:hideMark/>
          </w:tcPr>
          <w:p w14:paraId="0F1A1841" w14:textId="77777777" w:rsidR="0020385E" w:rsidRPr="0020385E" w:rsidRDefault="0020385E" w:rsidP="009D7107">
            <w:pPr>
              <w:spacing w:after="0" w:line="240" w:lineRule="auto"/>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b/>
                <w:bCs/>
                <w:color w:val="000000"/>
                <w:kern w:val="0"/>
                <w:sz w:val="24"/>
                <w:szCs w:val="24"/>
                <w:lang w:eastAsia="en-NZ"/>
                <w14:ligatures w14:val="none"/>
              </w:rPr>
              <w:t>Scores</w:t>
            </w:r>
            <w:r w:rsidRPr="0020385E">
              <w:rPr>
                <w:rFonts w:ascii="Arial" w:eastAsia="Times New Roman" w:hAnsi="Arial" w:cs="Arial"/>
                <w:color w:val="000000"/>
                <w:kern w:val="0"/>
                <w:sz w:val="24"/>
                <w:szCs w:val="24"/>
                <w:lang w:eastAsia="en-NZ"/>
                <w14:ligatures w14:val="none"/>
              </w:rPr>
              <w:t> </w:t>
            </w:r>
          </w:p>
        </w:tc>
        <w:tc>
          <w:tcPr>
            <w:tcW w:w="20" w:type="dxa"/>
            <w:shd w:val="clear" w:color="auto" w:fill="E7E7E7"/>
            <w:vAlign w:val="center"/>
            <w:hideMark/>
          </w:tcPr>
          <w:p w14:paraId="77213586"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b/>
                <w:bCs/>
                <w:color w:val="000000"/>
                <w:kern w:val="0"/>
                <w:sz w:val="24"/>
                <w:szCs w:val="24"/>
                <w:lang w:eastAsia="en-NZ"/>
                <w14:ligatures w14:val="none"/>
              </w:rPr>
              <w:t>0</w:t>
            </w:r>
            <w:r w:rsidRPr="0020385E">
              <w:rPr>
                <w:rFonts w:ascii="Arial" w:eastAsia="Times New Roman" w:hAnsi="Arial" w:cs="Arial"/>
                <w:color w:val="000000"/>
                <w:kern w:val="0"/>
                <w:sz w:val="24"/>
                <w:szCs w:val="24"/>
                <w:lang w:eastAsia="en-NZ"/>
                <w14:ligatures w14:val="none"/>
              </w:rPr>
              <w:t> </w:t>
            </w:r>
          </w:p>
        </w:tc>
        <w:tc>
          <w:tcPr>
            <w:tcW w:w="679" w:type="dxa"/>
            <w:shd w:val="clear" w:color="auto" w:fill="E7E7E7"/>
            <w:vAlign w:val="center"/>
            <w:hideMark/>
          </w:tcPr>
          <w:p w14:paraId="500F538F"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b/>
                <w:bCs/>
                <w:color w:val="000000"/>
                <w:kern w:val="0"/>
                <w:sz w:val="24"/>
                <w:szCs w:val="24"/>
                <w:lang w:eastAsia="en-NZ"/>
                <w14:ligatures w14:val="none"/>
              </w:rPr>
              <w:t>1</w:t>
            </w:r>
            <w:r w:rsidRPr="0020385E">
              <w:rPr>
                <w:rFonts w:ascii="Arial" w:eastAsia="Times New Roman" w:hAnsi="Arial" w:cs="Arial"/>
                <w:color w:val="000000"/>
                <w:kern w:val="0"/>
                <w:sz w:val="24"/>
                <w:szCs w:val="24"/>
                <w:lang w:eastAsia="en-NZ"/>
                <w14:ligatures w14:val="none"/>
              </w:rPr>
              <w:t> </w:t>
            </w:r>
          </w:p>
        </w:tc>
        <w:tc>
          <w:tcPr>
            <w:tcW w:w="745" w:type="dxa"/>
            <w:shd w:val="clear" w:color="auto" w:fill="E7E7E7"/>
            <w:vAlign w:val="center"/>
            <w:hideMark/>
          </w:tcPr>
          <w:p w14:paraId="770574C8"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b/>
                <w:bCs/>
                <w:color w:val="000000"/>
                <w:kern w:val="0"/>
                <w:sz w:val="24"/>
                <w:szCs w:val="24"/>
                <w:lang w:eastAsia="en-NZ"/>
                <w14:ligatures w14:val="none"/>
              </w:rPr>
              <w:t>2</w:t>
            </w:r>
            <w:r w:rsidRPr="0020385E">
              <w:rPr>
                <w:rFonts w:ascii="Arial" w:eastAsia="Times New Roman" w:hAnsi="Arial" w:cs="Arial"/>
                <w:color w:val="000000"/>
                <w:kern w:val="0"/>
                <w:sz w:val="24"/>
                <w:szCs w:val="24"/>
                <w:lang w:eastAsia="en-NZ"/>
                <w14:ligatures w14:val="none"/>
              </w:rPr>
              <w:t> </w:t>
            </w:r>
          </w:p>
        </w:tc>
        <w:tc>
          <w:tcPr>
            <w:tcW w:w="679" w:type="dxa"/>
            <w:shd w:val="clear" w:color="auto" w:fill="E7E7E7"/>
            <w:vAlign w:val="center"/>
            <w:hideMark/>
          </w:tcPr>
          <w:p w14:paraId="275E02B6"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b/>
                <w:bCs/>
                <w:color w:val="000000"/>
                <w:kern w:val="0"/>
                <w:sz w:val="24"/>
                <w:szCs w:val="24"/>
                <w:lang w:eastAsia="en-NZ"/>
                <w14:ligatures w14:val="none"/>
              </w:rPr>
              <w:t>3</w:t>
            </w:r>
            <w:r w:rsidRPr="0020385E">
              <w:rPr>
                <w:rFonts w:ascii="Arial" w:eastAsia="Times New Roman" w:hAnsi="Arial" w:cs="Arial"/>
                <w:color w:val="000000"/>
                <w:kern w:val="0"/>
                <w:sz w:val="24"/>
                <w:szCs w:val="24"/>
                <w:lang w:eastAsia="en-NZ"/>
                <w14:ligatures w14:val="none"/>
              </w:rPr>
              <w:t> </w:t>
            </w:r>
          </w:p>
        </w:tc>
        <w:tc>
          <w:tcPr>
            <w:tcW w:w="823" w:type="dxa"/>
            <w:shd w:val="clear" w:color="auto" w:fill="E7E7E7"/>
            <w:vAlign w:val="center"/>
            <w:hideMark/>
          </w:tcPr>
          <w:p w14:paraId="5C9AC2E0"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b/>
                <w:bCs/>
                <w:color w:val="000000"/>
                <w:kern w:val="0"/>
                <w:sz w:val="24"/>
                <w:szCs w:val="24"/>
                <w:lang w:eastAsia="en-NZ"/>
                <w14:ligatures w14:val="none"/>
              </w:rPr>
              <w:t>4</w:t>
            </w:r>
            <w:r w:rsidRPr="0020385E">
              <w:rPr>
                <w:rFonts w:ascii="Arial" w:eastAsia="Times New Roman" w:hAnsi="Arial" w:cs="Arial"/>
                <w:color w:val="000000"/>
                <w:kern w:val="0"/>
                <w:sz w:val="24"/>
                <w:szCs w:val="24"/>
                <w:lang w:eastAsia="en-NZ"/>
                <w14:ligatures w14:val="none"/>
              </w:rPr>
              <w:t> </w:t>
            </w:r>
          </w:p>
        </w:tc>
        <w:tc>
          <w:tcPr>
            <w:tcW w:w="823" w:type="dxa"/>
            <w:gridSpan w:val="2"/>
            <w:shd w:val="clear" w:color="auto" w:fill="E7E7E7"/>
            <w:vAlign w:val="center"/>
            <w:hideMark/>
          </w:tcPr>
          <w:p w14:paraId="38330582"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b/>
                <w:bCs/>
                <w:color w:val="000000"/>
                <w:kern w:val="0"/>
                <w:sz w:val="24"/>
                <w:szCs w:val="24"/>
                <w:lang w:eastAsia="en-NZ"/>
                <w14:ligatures w14:val="none"/>
              </w:rPr>
              <w:t>5</w:t>
            </w:r>
            <w:r w:rsidRPr="0020385E">
              <w:rPr>
                <w:rFonts w:ascii="Arial" w:eastAsia="Times New Roman" w:hAnsi="Arial" w:cs="Arial"/>
                <w:color w:val="000000"/>
                <w:kern w:val="0"/>
                <w:sz w:val="24"/>
                <w:szCs w:val="24"/>
                <w:lang w:eastAsia="en-NZ"/>
                <w14:ligatures w14:val="none"/>
              </w:rPr>
              <w:t> </w:t>
            </w:r>
          </w:p>
        </w:tc>
      </w:tr>
      <w:tr w:rsidR="0020385E" w:rsidRPr="0020385E" w14:paraId="375814D3" w14:textId="77777777" w:rsidTr="0020385E">
        <w:trPr>
          <w:trHeight w:val="990"/>
        </w:trPr>
        <w:tc>
          <w:tcPr>
            <w:tcW w:w="1463" w:type="dxa"/>
            <w:vAlign w:val="center"/>
            <w:hideMark/>
          </w:tcPr>
          <w:p w14:paraId="489966EF" w14:textId="77777777" w:rsidR="0020385E" w:rsidRPr="0020385E" w:rsidRDefault="0020385E" w:rsidP="009D7107">
            <w:pPr>
              <w:spacing w:after="0" w:line="240" w:lineRule="auto"/>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b/>
                <w:bCs/>
                <w:color w:val="000000"/>
                <w:kern w:val="0"/>
                <w:sz w:val="24"/>
                <w:szCs w:val="24"/>
                <w:lang w:eastAsia="en-NZ"/>
                <w14:ligatures w14:val="none"/>
              </w:rPr>
              <w:t>Profitability</w:t>
            </w:r>
            <w:r w:rsidRPr="0020385E">
              <w:rPr>
                <w:rFonts w:ascii="Arial" w:eastAsia="Times New Roman" w:hAnsi="Arial" w:cs="Arial"/>
                <w:color w:val="000000"/>
                <w:kern w:val="0"/>
                <w:sz w:val="24"/>
                <w:szCs w:val="24"/>
                <w:lang w:eastAsia="en-NZ"/>
                <w14:ligatures w14:val="none"/>
              </w:rPr>
              <w:t> </w:t>
            </w:r>
          </w:p>
        </w:tc>
        <w:tc>
          <w:tcPr>
            <w:tcW w:w="1595" w:type="dxa"/>
            <w:vAlign w:val="center"/>
            <w:hideMark/>
          </w:tcPr>
          <w:p w14:paraId="400EB511" w14:textId="77777777" w:rsidR="0020385E" w:rsidRPr="0020385E" w:rsidRDefault="0020385E" w:rsidP="009D7107">
            <w:pPr>
              <w:spacing w:after="0" w:line="240" w:lineRule="auto"/>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Operating Surplus/Deficit </w:t>
            </w:r>
          </w:p>
        </w:tc>
        <w:tc>
          <w:tcPr>
            <w:tcW w:w="2324" w:type="dxa"/>
            <w:vAlign w:val="center"/>
            <w:hideMark/>
          </w:tcPr>
          <w:p w14:paraId="0F4529A4" w14:textId="77777777" w:rsidR="0020385E" w:rsidRPr="0020385E" w:rsidRDefault="0020385E" w:rsidP="009D7107">
            <w:pPr>
              <w:spacing w:after="0" w:line="240" w:lineRule="auto"/>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val="en-US" w:eastAsia="en-NZ"/>
                <w14:ligatures w14:val="none"/>
              </w:rPr>
              <w:t>Operating Surplus/Deficit before/after trust and abnormal items, to total income.</w:t>
            </w:r>
            <w:r w:rsidRPr="0020385E">
              <w:rPr>
                <w:rFonts w:ascii="Arial" w:eastAsia="Times New Roman" w:hAnsi="Arial" w:cs="Arial"/>
                <w:color w:val="000000"/>
                <w:kern w:val="0"/>
                <w:sz w:val="24"/>
                <w:szCs w:val="24"/>
                <w:lang w:eastAsia="en-NZ"/>
                <w14:ligatures w14:val="none"/>
              </w:rPr>
              <w:t>  </w:t>
            </w:r>
          </w:p>
        </w:tc>
        <w:tc>
          <w:tcPr>
            <w:tcW w:w="20" w:type="dxa"/>
            <w:vAlign w:val="center"/>
            <w:hideMark/>
          </w:tcPr>
          <w:p w14:paraId="6B5B3199"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&lt; -4% </w:t>
            </w:r>
          </w:p>
        </w:tc>
        <w:tc>
          <w:tcPr>
            <w:tcW w:w="679" w:type="dxa"/>
            <w:vAlign w:val="center"/>
            <w:hideMark/>
          </w:tcPr>
          <w:p w14:paraId="248A9D31"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-4% to 0% </w:t>
            </w:r>
          </w:p>
        </w:tc>
        <w:tc>
          <w:tcPr>
            <w:tcW w:w="745" w:type="dxa"/>
            <w:vAlign w:val="center"/>
            <w:hideMark/>
          </w:tcPr>
          <w:p w14:paraId="74BD15C6"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0% to 2% </w:t>
            </w:r>
          </w:p>
        </w:tc>
        <w:tc>
          <w:tcPr>
            <w:tcW w:w="679" w:type="dxa"/>
            <w:vAlign w:val="center"/>
            <w:hideMark/>
          </w:tcPr>
          <w:p w14:paraId="14F936E2"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2% to 4% </w:t>
            </w:r>
          </w:p>
        </w:tc>
        <w:tc>
          <w:tcPr>
            <w:tcW w:w="823" w:type="dxa"/>
            <w:vAlign w:val="center"/>
            <w:hideMark/>
          </w:tcPr>
          <w:p w14:paraId="37BB2995"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4% to 6% </w:t>
            </w:r>
          </w:p>
        </w:tc>
        <w:tc>
          <w:tcPr>
            <w:tcW w:w="823" w:type="dxa"/>
            <w:gridSpan w:val="2"/>
            <w:vAlign w:val="center"/>
            <w:hideMark/>
          </w:tcPr>
          <w:p w14:paraId="22371CC9"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6% + </w:t>
            </w:r>
          </w:p>
        </w:tc>
      </w:tr>
      <w:tr w:rsidR="0020385E" w:rsidRPr="0020385E" w14:paraId="12A45612" w14:textId="77777777" w:rsidTr="0020385E">
        <w:trPr>
          <w:trHeight w:val="990"/>
        </w:trPr>
        <w:tc>
          <w:tcPr>
            <w:tcW w:w="1463" w:type="dxa"/>
            <w:shd w:val="clear" w:color="auto" w:fill="E7EBE8"/>
            <w:vAlign w:val="center"/>
            <w:hideMark/>
          </w:tcPr>
          <w:p w14:paraId="4923B945" w14:textId="77777777" w:rsidR="0020385E" w:rsidRPr="0020385E" w:rsidRDefault="0020385E" w:rsidP="009D7107">
            <w:pPr>
              <w:spacing w:after="0" w:line="240" w:lineRule="auto"/>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b/>
                <w:bCs/>
                <w:color w:val="000000"/>
                <w:kern w:val="0"/>
                <w:sz w:val="24"/>
                <w:szCs w:val="24"/>
                <w:lang w:eastAsia="en-NZ"/>
                <w14:ligatures w14:val="none"/>
              </w:rPr>
              <w:t>Profitability</w:t>
            </w:r>
            <w:r w:rsidRPr="0020385E">
              <w:rPr>
                <w:rFonts w:ascii="Arial" w:eastAsia="Times New Roman" w:hAnsi="Arial" w:cs="Arial"/>
                <w:color w:val="000000"/>
                <w:kern w:val="0"/>
                <w:sz w:val="24"/>
                <w:szCs w:val="24"/>
                <w:lang w:eastAsia="en-NZ"/>
                <w14:ligatures w14:val="none"/>
              </w:rPr>
              <w:t> </w:t>
            </w:r>
          </w:p>
        </w:tc>
        <w:tc>
          <w:tcPr>
            <w:tcW w:w="1595" w:type="dxa"/>
            <w:shd w:val="clear" w:color="auto" w:fill="E7EBE8"/>
            <w:vAlign w:val="center"/>
            <w:hideMark/>
          </w:tcPr>
          <w:p w14:paraId="7A876501" w14:textId="77777777" w:rsidR="0020385E" w:rsidRPr="0020385E" w:rsidRDefault="0020385E" w:rsidP="009D7107">
            <w:pPr>
              <w:spacing w:after="0" w:line="240" w:lineRule="auto"/>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Core Earnings </w:t>
            </w:r>
          </w:p>
        </w:tc>
        <w:tc>
          <w:tcPr>
            <w:tcW w:w="2324" w:type="dxa"/>
            <w:shd w:val="clear" w:color="auto" w:fill="E7EBE8"/>
            <w:vAlign w:val="center"/>
            <w:hideMark/>
          </w:tcPr>
          <w:p w14:paraId="373AC882" w14:textId="77777777" w:rsidR="0020385E" w:rsidRPr="0020385E" w:rsidRDefault="0020385E" w:rsidP="009D7107">
            <w:pPr>
              <w:spacing w:after="0" w:line="240" w:lineRule="auto"/>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EBITDA to total income. </w:t>
            </w:r>
          </w:p>
        </w:tc>
        <w:tc>
          <w:tcPr>
            <w:tcW w:w="20" w:type="dxa"/>
            <w:shd w:val="clear" w:color="auto" w:fill="E7EBE8"/>
            <w:vAlign w:val="center"/>
            <w:hideMark/>
          </w:tcPr>
          <w:p w14:paraId="652AE17D"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&lt; 5% </w:t>
            </w:r>
          </w:p>
        </w:tc>
        <w:tc>
          <w:tcPr>
            <w:tcW w:w="679" w:type="dxa"/>
            <w:shd w:val="clear" w:color="auto" w:fill="E7EBE8"/>
            <w:vAlign w:val="center"/>
            <w:hideMark/>
          </w:tcPr>
          <w:p w14:paraId="39197671"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5% to 9% </w:t>
            </w:r>
          </w:p>
        </w:tc>
        <w:tc>
          <w:tcPr>
            <w:tcW w:w="745" w:type="dxa"/>
            <w:shd w:val="clear" w:color="auto" w:fill="E7EBE8"/>
            <w:vAlign w:val="center"/>
            <w:hideMark/>
          </w:tcPr>
          <w:p w14:paraId="20E19476"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9% to 11% </w:t>
            </w:r>
          </w:p>
        </w:tc>
        <w:tc>
          <w:tcPr>
            <w:tcW w:w="679" w:type="dxa"/>
            <w:shd w:val="clear" w:color="auto" w:fill="E7EBE8"/>
            <w:vAlign w:val="center"/>
            <w:hideMark/>
          </w:tcPr>
          <w:p w14:paraId="09092A51"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11% to 13% </w:t>
            </w:r>
          </w:p>
        </w:tc>
        <w:tc>
          <w:tcPr>
            <w:tcW w:w="823" w:type="dxa"/>
            <w:shd w:val="clear" w:color="auto" w:fill="E7EBE8"/>
            <w:vAlign w:val="center"/>
            <w:hideMark/>
          </w:tcPr>
          <w:p w14:paraId="3FA928C9"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13% to 15% </w:t>
            </w:r>
          </w:p>
        </w:tc>
        <w:tc>
          <w:tcPr>
            <w:tcW w:w="823" w:type="dxa"/>
            <w:gridSpan w:val="2"/>
            <w:shd w:val="clear" w:color="auto" w:fill="E7EBE8"/>
            <w:vAlign w:val="center"/>
            <w:hideMark/>
          </w:tcPr>
          <w:p w14:paraId="578E8C2C"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15% + </w:t>
            </w:r>
          </w:p>
        </w:tc>
      </w:tr>
      <w:tr w:rsidR="0020385E" w:rsidRPr="0020385E" w14:paraId="36CB91D6" w14:textId="77777777" w:rsidTr="0020385E">
        <w:trPr>
          <w:trHeight w:val="1395"/>
        </w:trPr>
        <w:tc>
          <w:tcPr>
            <w:tcW w:w="1463" w:type="dxa"/>
            <w:vAlign w:val="center"/>
            <w:hideMark/>
          </w:tcPr>
          <w:p w14:paraId="45869B19" w14:textId="77777777" w:rsidR="0020385E" w:rsidRPr="0020385E" w:rsidRDefault="0020385E" w:rsidP="009D7107">
            <w:pPr>
              <w:spacing w:after="0" w:line="240" w:lineRule="auto"/>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b/>
                <w:bCs/>
                <w:color w:val="000000"/>
                <w:kern w:val="0"/>
                <w:sz w:val="24"/>
                <w:szCs w:val="24"/>
                <w:lang w:val="en-US" w:eastAsia="en-NZ"/>
                <w14:ligatures w14:val="none"/>
              </w:rPr>
              <w:t>Liquidity</w:t>
            </w:r>
            <w:r w:rsidRPr="0020385E">
              <w:rPr>
                <w:rFonts w:ascii="Arial" w:eastAsia="Times New Roman" w:hAnsi="Arial" w:cs="Arial"/>
                <w:color w:val="000000"/>
                <w:kern w:val="0"/>
                <w:sz w:val="24"/>
                <w:szCs w:val="24"/>
                <w:lang w:eastAsia="en-NZ"/>
                <w14:ligatures w14:val="none"/>
              </w:rPr>
              <w:t> </w:t>
            </w:r>
          </w:p>
        </w:tc>
        <w:tc>
          <w:tcPr>
            <w:tcW w:w="1595" w:type="dxa"/>
            <w:vAlign w:val="center"/>
            <w:hideMark/>
          </w:tcPr>
          <w:p w14:paraId="57F8EE83" w14:textId="77777777" w:rsidR="0020385E" w:rsidRPr="0020385E" w:rsidRDefault="0020385E" w:rsidP="009D7107">
            <w:pPr>
              <w:spacing w:after="0" w:line="240" w:lineRule="auto"/>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Liquid Funds Ratio </w:t>
            </w:r>
          </w:p>
        </w:tc>
        <w:tc>
          <w:tcPr>
            <w:tcW w:w="2324" w:type="dxa"/>
            <w:vAlign w:val="center"/>
            <w:hideMark/>
          </w:tcPr>
          <w:p w14:paraId="03E30F08" w14:textId="77777777" w:rsidR="0020385E" w:rsidRPr="0020385E" w:rsidRDefault="0020385E" w:rsidP="009D7107">
            <w:pPr>
              <w:spacing w:after="0" w:line="240" w:lineRule="auto"/>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val="en-US" w:eastAsia="en-NZ"/>
                <w14:ligatures w14:val="none"/>
              </w:rPr>
              <w:t>Liquid assets less short-term overdrafts to cash outflow (payments) from operations.</w:t>
            </w:r>
            <w:r w:rsidRPr="0020385E">
              <w:rPr>
                <w:rFonts w:ascii="Arial" w:eastAsia="Times New Roman" w:hAnsi="Arial" w:cs="Arial"/>
                <w:color w:val="000000"/>
                <w:kern w:val="0"/>
                <w:sz w:val="24"/>
                <w:szCs w:val="24"/>
                <w:lang w:eastAsia="en-NZ"/>
                <w14:ligatures w14:val="none"/>
              </w:rPr>
              <w:t> </w:t>
            </w:r>
          </w:p>
        </w:tc>
        <w:tc>
          <w:tcPr>
            <w:tcW w:w="20" w:type="dxa"/>
            <w:vAlign w:val="center"/>
            <w:hideMark/>
          </w:tcPr>
          <w:p w14:paraId="38C4478D"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&lt; 5% </w:t>
            </w:r>
          </w:p>
        </w:tc>
        <w:tc>
          <w:tcPr>
            <w:tcW w:w="679" w:type="dxa"/>
            <w:vAlign w:val="center"/>
            <w:hideMark/>
          </w:tcPr>
          <w:p w14:paraId="5CF9B50D"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5% to 10% </w:t>
            </w:r>
          </w:p>
        </w:tc>
        <w:tc>
          <w:tcPr>
            <w:tcW w:w="745" w:type="dxa"/>
            <w:vAlign w:val="center"/>
            <w:hideMark/>
          </w:tcPr>
          <w:p w14:paraId="72A3A2D7"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10% to 15% </w:t>
            </w:r>
          </w:p>
        </w:tc>
        <w:tc>
          <w:tcPr>
            <w:tcW w:w="679" w:type="dxa"/>
            <w:vAlign w:val="center"/>
            <w:hideMark/>
          </w:tcPr>
          <w:p w14:paraId="0AAAFA42"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15% to 20% </w:t>
            </w:r>
          </w:p>
        </w:tc>
        <w:tc>
          <w:tcPr>
            <w:tcW w:w="823" w:type="dxa"/>
            <w:vAlign w:val="center"/>
            <w:hideMark/>
          </w:tcPr>
          <w:p w14:paraId="5C4F7C08"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20% to 25% </w:t>
            </w:r>
          </w:p>
        </w:tc>
        <w:tc>
          <w:tcPr>
            <w:tcW w:w="823" w:type="dxa"/>
            <w:gridSpan w:val="2"/>
            <w:vAlign w:val="center"/>
            <w:hideMark/>
          </w:tcPr>
          <w:p w14:paraId="705638BD"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25% + </w:t>
            </w:r>
          </w:p>
        </w:tc>
      </w:tr>
      <w:tr w:rsidR="0020385E" w:rsidRPr="0020385E" w14:paraId="1671D2E8" w14:textId="77777777" w:rsidTr="0020385E">
        <w:trPr>
          <w:trHeight w:val="795"/>
        </w:trPr>
        <w:tc>
          <w:tcPr>
            <w:tcW w:w="1463" w:type="dxa"/>
            <w:shd w:val="clear" w:color="auto" w:fill="E7EBE8"/>
            <w:vAlign w:val="center"/>
            <w:hideMark/>
          </w:tcPr>
          <w:p w14:paraId="3AA69D3A" w14:textId="77777777" w:rsidR="0020385E" w:rsidRPr="0020385E" w:rsidRDefault="0020385E" w:rsidP="009D7107">
            <w:pPr>
              <w:spacing w:after="0" w:line="240" w:lineRule="auto"/>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b/>
                <w:bCs/>
                <w:color w:val="000000"/>
                <w:kern w:val="0"/>
                <w:sz w:val="24"/>
                <w:szCs w:val="24"/>
                <w:lang w:val="en-US" w:eastAsia="en-NZ"/>
                <w14:ligatures w14:val="none"/>
              </w:rPr>
              <w:lastRenderedPageBreak/>
              <w:t>Liquidity</w:t>
            </w:r>
            <w:r w:rsidRPr="0020385E">
              <w:rPr>
                <w:rFonts w:ascii="Arial" w:eastAsia="Times New Roman" w:hAnsi="Arial" w:cs="Arial"/>
                <w:color w:val="000000"/>
                <w:kern w:val="0"/>
                <w:sz w:val="24"/>
                <w:szCs w:val="24"/>
                <w:lang w:eastAsia="en-NZ"/>
                <w14:ligatures w14:val="none"/>
              </w:rPr>
              <w:t> </w:t>
            </w:r>
          </w:p>
        </w:tc>
        <w:tc>
          <w:tcPr>
            <w:tcW w:w="1595" w:type="dxa"/>
            <w:shd w:val="clear" w:color="auto" w:fill="E7EBE8"/>
            <w:vAlign w:val="center"/>
            <w:hideMark/>
          </w:tcPr>
          <w:p w14:paraId="24EA95C9" w14:textId="77777777" w:rsidR="0020385E" w:rsidRPr="0020385E" w:rsidRDefault="0020385E" w:rsidP="009D7107">
            <w:pPr>
              <w:spacing w:after="0" w:line="240" w:lineRule="auto"/>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Net Cashflow from Operations </w:t>
            </w:r>
          </w:p>
        </w:tc>
        <w:tc>
          <w:tcPr>
            <w:tcW w:w="2324" w:type="dxa"/>
            <w:shd w:val="clear" w:color="auto" w:fill="E7EBE8"/>
            <w:vAlign w:val="bottom"/>
            <w:hideMark/>
          </w:tcPr>
          <w:p w14:paraId="56810015" w14:textId="77777777" w:rsidR="0020385E" w:rsidRPr="0020385E" w:rsidRDefault="0020385E" w:rsidP="009D7107">
            <w:pPr>
              <w:spacing w:after="0" w:line="240" w:lineRule="auto"/>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val="en-US" w:eastAsia="en-NZ"/>
                <w14:ligatures w14:val="none"/>
              </w:rPr>
              <w:t>Cash inflow (receipts) from operations to Cash outflow (payments) from operations.</w:t>
            </w:r>
            <w:r w:rsidRPr="0020385E">
              <w:rPr>
                <w:rFonts w:ascii="Arial" w:eastAsia="Times New Roman" w:hAnsi="Arial" w:cs="Arial"/>
                <w:color w:val="000000"/>
                <w:kern w:val="0"/>
                <w:sz w:val="24"/>
                <w:szCs w:val="24"/>
                <w:lang w:eastAsia="en-NZ"/>
                <w14:ligatures w14:val="none"/>
              </w:rPr>
              <w:t> </w:t>
            </w:r>
          </w:p>
        </w:tc>
        <w:tc>
          <w:tcPr>
            <w:tcW w:w="20" w:type="dxa"/>
            <w:shd w:val="clear" w:color="auto" w:fill="E7EBE8"/>
            <w:vAlign w:val="center"/>
            <w:hideMark/>
          </w:tcPr>
          <w:p w14:paraId="2DED0B15"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&lt; 104% </w:t>
            </w:r>
          </w:p>
        </w:tc>
        <w:tc>
          <w:tcPr>
            <w:tcW w:w="679" w:type="dxa"/>
            <w:shd w:val="clear" w:color="auto" w:fill="E7EBE8"/>
            <w:vAlign w:val="center"/>
            <w:hideMark/>
          </w:tcPr>
          <w:p w14:paraId="79CEFC38"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104% to 108% </w:t>
            </w:r>
          </w:p>
        </w:tc>
        <w:tc>
          <w:tcPr>
            <w:tcW w:w="745" w:type="dxa"/>
            <w:shd w:val="clear" w:color="auto" w:fill="E7EBE8"/>
            <w:vAlign w:val="center"/>
            <w:hideMark/>
          </w:tcPr>
          <w:p w14:paraId="14AED726"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108% to 111% </w:t>
            </w:r>
          </w:p>
        </w:tc>
        <w:tc>
          <w:tcPr>
            <w:tcW w:w="679" w:type="dxa"/>
            <w:shd w:val="clear" w:color="auto" w:fill="E7EBE8"/>
            <w:vAlign w:val="center"/>
            <w:hideMark/>
          </w:tcPr>
          <w:p w14:paraId="12808860"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111% to 113% </w:t>
            </w:r>
          </w:p>
        </w:tc>
        <w:tc>
          <w:tcPr>
            <w:tcW w:w="823" w:type="dxa"/>
            <w:shd w:val="clear" w:color="auto" w:fill="E7EBE8"/>
            <w:vAlign w:val="center"/>
            <w:hideMark/>
          </w:tcPr>
          <w:p w14:paraId="67FC8DDC"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113% to 115% </w:t>
            </w:r>
          </w:p>
        </w:tc>
        <w:tc>
          <w:tcPr>
            <w:tcW w:w="823" w:type="dxa"/>
            <w:gridSpan w:val="2"/>
            <w:shd w:val="clear" w:color="auto" w:fill="E7EBE8"/>
            <w:vAlign w:val="center"/>
            <w:hideMark/>
          </w:tcPr>
          <w:p w14:paraId="5EDB1998"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115% + </w:t>
            </w:r>
          </w:p>
        </w:tc>
      </w:tr>
      <w:tr w:rsidR="0020385E" w:rsidRPr="0020385E" w14:paraId="47380F5A" w14:textId="77777777" w:rsidTr="0020385E">
        <w:trPr>
          <w:trHeight w:val="465"/>
        </w:trPr>
        <w:tc>
          <w:tcPr>
            <w:tcW w:w="1463" w:type="dxa"/>
            <w:vAlign w:val="center"/>
            <w:hideMark/>
          </w:tcPr>
          <w:p w14:paraId="27B4DD55" w14:textId="77777777" w:rsidR="0020385E" w:rsidRPr="0020385E" w:rsidRDefault="0020385E" w:rsidP="009D7107">
            <w:pPr>
              <w:spacing w:after="0" w:line="240" w:lineRule="auto"/>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b/>
                <w:bCs/>
                <w:color w:val="000000"/>
                <w:kern w:val="0"/>
                <w:sz w:val="24"/>
                <w:szCs w:val="24"/>
                <w:lang w:val="en-US" w:eastAsia="en-NZ"/>
                <w14:ligatures w14:val="none"/>
              </w:rPr>
              <w:t>Debt Affordability</w:t>
            </w:r>
            <w:r w:rsidRPr="0020385E">
              <w:rPr>
                <w:rFonts w:ascii="Arial" w:eastAsia="Times New Roman" w:hAnsi="Arial" w:cs="Arial"/>
                <w:color w:val="000000"/>
                <w:kern w:val="0"/>
                <w:sz w:val="24"/>
                <w:szCs w:val="24"/>
                <w:lang w:eastAsia="en-NZ"/>
                <w14:ligatures w14:val="none"/>
              </w:rPr>
              <w:t> </w:t>
            </w:r>
          </w:p>
        </w:tc>
        <w:tc>
          <w:tcPr>
            <w:tcW w:w="1595" w:type="dxa"/>
            <w:vAlign w:val="center"/>
            <w:hideMark/>
          </w:tcPr>
          <w:p w14:paraId="609BD18E" w14:textId="77777777" w:rsidR="0020385E" w:rsidRPr="0020385E" w:rsidRDefault="0020385E" w:rsidP="009D7107">
            <w:pPr>
              <w:spacing w:after="0" w:line="240" w:lineRule="auto"/>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Debt Affordability </w:t>
            </w:r>
          </w:p>
        </w:tc>
        <w:tc>
          <w:tcPr>
            <w:tcW w:w="2324" w:type="dxa"/>
            <w:vAlign w:val="center"/>
            <w:hideMark/>
          </w:tcPr>
          <w:p w14:paraId="54C31FF5" w14:textId="77777777" w:rsidR="0020385E" w:rsidRPr="0020385E" w:rsidRDefault="0020385E" w:rsidP="009D7107">
            <w:pPr>
              <w:spacing w:after="0" w:line="240" w:lineRule="auto"/>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Total Debt to EBITDA. </w:t>
            </w:r>
          </w:p>
        </w:tc>
        <w:tc>
          <w:tcPr>
            <w:tcW w:w="20" w:type="dxa"/>
            <w:vAlign w:val="center"/>
            <w:hideMark/>
          </w:tcPr>
          <w:p w14:paraId="5CADDF01"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&gt; 4.0x </w:t>
            </w:r>
          </w:p>
        </w:tc>
        <w:tc>
          <w:tcPr>
            <w:tcW w:w="679" w:type="dxa"/>
            <w:vAlign w:val="center"/>
            <w:hideMark/>
          </w:tcPr>
          <w:p w14:paraId="155123E0"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3.0x to 4.0x </w:t>
            </w:r>
          </w:p>
        </w:tc>
        <w:tc>
          <w:tcPr>
            <w:tcW w:w="745" w:type="dxa"/>
            <w:vAlign w:val="center"/>
            <w:hideMark/>
          </w:tcPr>
          <w:p w14:paraId="64D9FB2D"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2.0x to 3.0x </w:t>
            </w:r>
          </w:p>
        </w:tc>
        <w:tc>
          <w:tcPr>
            <w:tcW w:w="679" w:type="dxa"/>
            <w:vAlign w:val="center"/>
            <w:hideMark/>
          </w:tcPr>
          <w:p w14:paraId="1985CD09"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1.5x to 2.0x </w:t>
            </w:r>
          </w:p>
        </w:tc>
        <w:tc>
          <w:tcPr>
            <w:tcW w:w="823" w:type="dxa"/>
            <w:vAlign w:val="center"/>
            <w:hideMark/>
          </w:tcPr>
          <w:p w14:paraId="3D178406"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0x to 1.5x  </w:t>
            </w:r>
          </w:p>
        </w:tc>
        <w:tc>
          <w:tcPr>
            <w:tcW w:w="823" w:type="dxa"/>
            <w:gridSpan w:val="2"/>
            <w:vAlign w:val="center"/>
            <w:hideMark/>
          </w:tcPr>
          <w:p w14:paraId="4A30A508"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0 </w:t>
            </w:r>
          </w:p>
        </w:tc>
      </w:tr>
      <w:tr w:rsidR="0020385E" w:rsidRPr="0020385E" w14:paraId="67015F9E" w14:textId="77777777" w:rsidTr="0020385E">
        <w:trPr>
          <w:trHeight w:val="465"/>
        </w:trPr>
        <w:tc>
          <w:tcPr>
            <w:tcW w:w="1463" w:type="dxa"/>
            <w:shd w:val="clear" w:color="auto" w:fill="E7EBE8"/>
            <w:vAlign w:val="center"/>
            <w:hideMark/>
          </w:tcPr>
          <w:p w14:paraId="4CB1DBAB" w14:textId="77777777" w:rsidR="0020385E" w:rsidRPr="0020385E" w:rsidRDefault="0020385E" w:rsidP="009D7107">
            <w:pPr>
              <w:spacing w:after="0" w:line="240" w:lineRule="auto"/>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b/>
                <w:bCs/>
                <w:color w:val="000000"/>
                <w:kern w:val="0"/>
                <w:sz w:val="24"/>
                <w:szCs w:val="24"/>
                <w:lang w:val="en-US" w:eastAsia="en-NZ"/>
                <w14:ligatures w14:val="none"/>
              </w:rPr>
              <w:t>Debt Affordability</w:t>
            </w:r>
            <w:r w:rsidRPr="0020385E">
              <w:rPr>
                <w:rFonts w:ascii="Arial" w:eastAsia="Times New Roman" w:hAnsi="Arial" w:cs="Arial"/>
                <w:color w:val="000000"/>
                <w:kern w:val="0"/>
                <w:sz w:val="24"/>
                <w:szCs w:val="24"/>
                <w:lang w:eastAsia="en-NZ"/>
                <w14:ligatures w14:val="none"/>
              </w:rPr>
              <w:t> </w:t>
            </w:r>
          </w:p>
        </w:tc>
        <w:tc>
          <w:tcPr>
            <w:tcW w:w="1595" w:type="dxa"/>
            <w:shd w:val="clear" w:color="auto" w:fill="E7EBE8"/>
            <w:vAlign w:val="center"/>
            <w:hideMark/>
          </w:tcPr>
          <w:p w14:paraId="5E44FF25" w14:textId="77777777" w:rsidR="0020385E" w:rsidRPr="0020385E" w:rsidRDefault="0020385E" w:rsidP="009D7107">
            <w:pPr>
              <w:spacing w:after="0" w:line="240" w:lineRule="auto"/>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Interest Strain </w:t>
            </w:r>
          </w:p>
        </w:tc>
        <w:tc>
          <w:tcPr>
            <w:tcW w:w="2324" w:type="dxa"/>
            <w:shd w:val="clear" w:color="auto" w:fill="E7EBE8"/>
            <w:vAlign w:val="center"/>
            <w:hideMark/>
          </w:tcPr>
          <w:p w14:paraId="17FD07FC" w14:textId="77777777" w:rsidR="0020385E" w:rsidRPr="0020385E" w:rsidRDefault="0020385E" w:rsidP="009D7107">
            <w:pPr>
              <w:spacing w:after="0" w:line="240" w:lineRule="auto"/>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val="en-US" w:eastAsia="en-NZ"/>
                <w14:ligatures w14:val="none"/>
              </w:rPr>
              <w:t>Interest Paid (within year) to Revenue</w:t>
            </w:r>
            <w:r w:rsidRPr="0020385E">
              <w:rPr>
                <w:rFonts w:ascii="Arial" w:eastAsia="Times New Roman" w:hAnsi="Arial" w:cs="Arial"/>
                <w:color w:val="000000"/>
                <w:kern w:val="0"/>
                <w:sz w:val="24"/>
                <w:szCs w:val="24"/>
                <w:lang w:eastAsia="en-NZ"/>
                <w14:ligatures w14:val="none"/>
              </w:rPr>
              <w:t> </w:t>
            </w:r>
          </w:p>
        </w:tc>
        <w:tc>
          <w:tcPr>
            <w:tcW w:w="20" w:type="dxa"/>
            <w:shd w:val="clear" w:color="auto" w:fill="E7EBE8"/>
            <w:vAlign w:val="center"/>
            <w:hideMark/>
          </w:tcPr>
          <w:p w14:paraId="61280458"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&gt; 3% </w:t>
            </w:r>
          </w:p>
        </w:tc>
        <w:tc>
          <w:tcPr>
            <w:tcW w:w="679" w:type="dxa"/>
            <w:shd w:val="clear" w:color="auto" w:fill="E7EBE8"/>
            <w:vAlign w:val="center"/>
            <w:hideMark/>
          </w:tcPr>
          <w:p w14:paraId="573B8DD7"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2.25% to 3% </w:t>
            </w:r>
          </w:p>
        </w:tc>
        <w:tc>
          <w:tcPr>
            <w:tcW w:w="745" w:type="dxa"/>
            <w:shd w:val="clear" w:color="auto" w:fill="E7EBE8"/>
            <w:vAlign w:val="center"/>
            <w:hideMark/>
          </w:tcPr>
          <w:p w14:paraId="22BD6433"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1.5% to 2.25% </w:t>
            </w:r>
          </w:p>
        </w:tc>
        <w:tc>
          <w:tcPr>
            <w:tcW w:w="679" w:type="dxa"/>
            <w:shd w:val="clear" w:color="auto" w:fill="E7EBE8"/>
            <w:vAlign w:val="center"/>
            <w:hideMark/>
          </w:tcPr>
          <w:p w14:paraId="56B9AC01"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0.75% to 1.5% </w:t>
            </w:r>
          </w:p>
        </w:tc>
        <w:tc>
          <w:tcPr>
            <w:tcW w:w="823" w:type="dxa"/>
            <w:shd w:val="clear" w:color="auto" w:fill="E7EBE8"/>
            <w:vAlign w:val="center"/>
            <w:hideMark/>
          </w:tcPr>
          <w:p w14:paraId="2C087409"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0% to 0.75% </w:t>
            </w:r>
          </w:p>
        </w:tc>
        <w:tc>
          <w:tcPr>
            <w:tcW w:w="823" w:type="dxa"/>
            <w:gridSpan w:val="2"/>
            <w:shd w:val="clear" w:color="auto" w:fill="E7EBE8"/>
            <w:vAlign w:val="center"/>
            <w:hideMark/>
          </w:tcPr>
          <w:p w14:paraId="5B5856A8"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&lt; 0% </w:t>
            </w:r>
          </w:p>
        </w:tc>
      </w:tr>
      <w:tr w:rsidR="0020385E" w:rsidRPr="0020385E" w14:paraId="4F2C2DDD" w14:textId="77777777" w:rsidTr="0020385E">
        <w:trPr>
          <w:trHeight w:val="795"/>
        </w:trPr>
        <w:tc>
          <w:tcPr>
            <w:tcW w:w="1463" w:type="dxa"/>
            <w:vAlign w:val="center"/>
            <w:hideMark/>
          </w:tcPr>
          <w:p w14:paraId="3ABE2284" w14:textId="77777777" w:rsidR="0020385E" w:rsidRPr="0020385E" w:rsidRDefault="0020385E" w:rsidP="009D7107">
            <w:pPr>
              <w:spacing w:after="0" w:line="240" w:lineRule="auto"/>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b/>
                <w:bCs/>
                <w:color w:val="000000"/>
                <w:kern w:val="0"/>
                <w:sz w:val="24"/>
                <w:szCs w:val="24"/>
                <w:lang w:val="en-US" w:eastAsia="en-NZ"/>
                <w14:ligatures w14:val="none"/>
              </w:rPr>
              <w:t>Debt Affordability</w:t>
            </w:r>
            <w:r w:rsidRPr="0020385E">
              <w:rPr>
                <w:rFonts w:ascii="Arial" w:eastAsia="Times New Roman" w:hAnsi="Arial" w:cs="Arial"/>
                <w:color w:val="000000"/>
                <w:kern w:val="0"/>
                <w:sz w:val="24"/>
                <w:szCs w:val="24"/>
                <w:lang w:eastAsia="en-NZ"/>
                <w14:ligatures w14:val="none"/>
              </w:rPr>
              <w:t> </w:t>
            </w:r>
          </w:p>
        </w:tc>
        <w:tc>
          <w:tcPr>
            <w:tcW w:w="1595" w:type="dxa"/>
            <w:vAlign w:val="center"/>
            <w:hideMark/>
          </w:tcPr>
          <w:p w14:paraId="2B3EEDEF" w14:textId="77777777" w:rsidR="0020385E" w:rsidRPr="0020385E" w:rsidRDefault="0020385E" w:rsidP="009D7107">
            <w:pPr>
              <w:spacing w:after="0" w:line="240" w:lineRule="auto"/>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Debt Equity Ratio </w:t>
            </w:r>
          </w:p>
        </w:tc>
        <w:tc>
          <w:tcPr>
            <w:tcW w:w="2324" w:type="dxa"/>
            <w:vAlign w:val="center"/>
            <w:hideMark/>
          </w:tcPr>
          <w:p w14:paraId="283AA458" w14:textId="77777777" w:rsidR="0020385E" w:rsidRPr="0020385E" w:rsidRDefault="0020385E" w:rsidP="009D7107">
            <w:pPr>
              <w:spacing w:after="0" w:line="240" w:lineRule="auto"/>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val="en-US" w:eastAsia="en-NZ"/>
                <w14:ligatures w14:val="none"/>
              </w:rPr>
              <w:t>Total Debt to Total Debt plus Equity.</w:t>
            </w:r>
            <w:r w:rsidRPr="0020385E">
              <w:rPr>
                <w:rFonts w:ascii="Arial" w:eastAsia="Times New Roman" w:hAnsi="Arial" w:cs="Arial"/>
                <w:color w:val="000000"/>
                <w:kern w:val="0"/>
                <w:sz w:val="24"/>
                <w:szCs w:val="24"/>
                <w:lang w:eastAsia="en-NZ"/>
                <w14:ligatures w14:val="none"/>
              </w:rPr>
              <w:t> </w:t>
            </w:r>
          </w:p>
        </w:tc>
        <w:tc>
          <w:tcPr>
            <w:tcW w:w="20" w:type="dxa"/>
            <w:vAlign w:val="center"/>
            <w:hideMark/>
          </w:tcPr>
          <w:p w14:paraId="6CBF987C"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25% + </w:t>
            </w:r>
          </w:p>
        </w:tc>
        <w:tc>
          <w:tcPr>
            <w:tcW w:w="679" w:type="dxa"/>
            <w:vAlign w:val="center"/>
            <w:hideMark/>
          </w:tcPr>
          <w:p w14:paraId="0D49C90E"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15% to 25% </w:t>
            </w:r>
          </w:p>
        </w:tc>
        <w:tc>
          <w:tcPr>
            <w:tcW w:w="745" w:type="dxa"/>
            <w:vAlign w:val="center"/>
            <w:hideMark/>
          </w:tcPr>
          <w:p w14:paraId="62B2E93D"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7.5% to 15% </w:t>
            </w:r>
          </w:p>
        </w:tc>
        <w:tc>
          <w:tcPr>
            <w:tcW w:w="679" w:type="dxa"/>
            <w:vAlign w:val="center"/>
            <w:hideMark/>
          </w:tcPr>
          <w:p w14:paraId="04AAAA1F"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&gt; 0% to 7.5% </w:t>
            </w:r>
          </w:p>
        </w:tc>
        <w:tc>
          <w:tcPr>
            <w:tcW w:w="823" w:type="dxa"/>
            <w:vAlign w:val="center"/>
            <w:hideMark/>
          </w:tcPr>
          <w:p w14:paraId="224D1C63"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0% &amp; Core Earning &lt;12% </w:t>
            </w:r>
          </w:p>
        </w:tc>
        <w:tc>
          <w:tcPr>
            <w:tcW w:w="823" w:type="dxa"/>
            <w:gridSpan w:val="2"/>
            <w:vAlign w:val="center"/>
            <w:hideMark/>
          </w:tcPr>
          <w:p w14:paraId="0346D37E" w14:textId="77777777" w:rsidR="0020385E" w:rsidRPr="0020385E" w:rsidRDefault="0020385E" w:rsidP="009D7107">
            <w:pPr>
              <w:spacing w:after="0" w:line="240" w:lineRule="auto"/>
              <w:jc w:val="center"/>
              <w:textAlignment w:val="baseline"/>
              <w:rPr>
                <w:rFonts w:ascii="Arial" w:eastAsia="Times New Roman" w:hAnsi="Arial" w:cs="Arial"/>
                <w:kern w:val="0"/>
                <w:sz w:val="24"/>
                <w:szCs w:val="24"/>
                <w:lang w:eastAsia="en-NZ"/>
                <w14:ligatures w14:val="none"/>
              </w:rPr>
            </w:pPr>
            <w:r w:rsidRPr="0020385E">
              <w:rPr>
                <w:rFonts w:ascii="Arial" w:eastAsia="Times New Roman" w:hAnsi="Arial" w:cs="Arial"/>
                <w:color w:val="000000"/>
                <w:kern w:val="0"/>
                <w:sz w:val="24"/>
                <w:szCs w:val="24"/>
                <w:lang w:eastAsia="en-NZ"/>
                <w14:ligatures w14:val="none"/>
              </w:rPr>
              <w:t>0% &amp; Core Earning &gt;12% </w:t>
            </w:r>
          </w:p>
        </w:tc>
      </w:tr>
    </w:tbl>
    <w:p w14:paraId="1AA7298A" w14:textId="77777777" w:rsidR="00CC0D78" w:rsidRPr="004E062E" w:rsidRDefault="00CC0D78">
      <w:pPr>
        <w:rPr>
          <w:rFonts w:ascii="Arial" w:hAnsi="Arial" w:cs="Arial"/>
        </w:rPr>
      </w:pPr>
    </w:p>
    <w:sectPr w:rsidR="00CC0D78" w:rsidRPr="004E06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17A31"/>
    <w:multiLevelType w:val="multilevel"/>
    <w:tmpl w:val="F19A2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C37C70"/>
    <w:multiLevelType w:val="multilevel"/>
    <w:tmpl w:val="4C7E0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2632CE"/>
    <w:multiLevelType w:val="multilevel"/>
    <w:tmpl w:val="23B8C1B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337B15"/>
    <w:multiLevelType w:val="multilevel"/>
    <w:tmpl w:val="3DD2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D211A9"/>
    <w:multiLevelType w:val="multilevel"/>
    <w:tmpl w:val="4246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1828936">
    <w:abstractNumId w:val="0"/>
  </w:num>
  <w:num w:numId="2" w16cid:durableId="1113599757">
    <w:abstractNumId w:val="3"/>
  </w:num>
  <w:num w:numId="3" w16cid:durableId="294721866">
    <w:abstractNumId w:val="4"/>
  </w:num>
  <w:num w:numId="4" w16cid:durableId="62263265">
    <w:abstractNumId w:val="2"/>
  </w:num>
  <w:num w:numId="5" w16cid:durableId="692850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85E"/>
    <w:rsid w:val="0020385E"/>
    <w:rsid w:val="004E062E"/>
    <w:rsid w:val="006D21E2"/>
    <w:rsid w:val="00B37240"/>
    <w:rsid w:val="00CC0D78"/>
    <w:rsid w:val="00EF143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DB636"/>
  <w15:chartTrackingRefBased/>
  <w15:docId w15:val="{8EE40E3C-9264-4267-8BDF-4CB337ED5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85E"/>
  </w:style>
  <w:style w:type="paragraph" w:styleId="Heading1">
    <w:name w:val="heading 1"/>
    <w:basedOn w:val="Normal"/>
    <w:next w:val="Normal"/>
    <w:link w:val="Heading1Char"/>
    <w:uiPriority w:val="9"/>
    <w:qFormat/>
    <w:rsid w:val="002038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38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38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38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8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8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8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8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8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8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38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38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8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8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8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8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8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85E"/>
    <w:rPr>
      <w:rFonts w:eastAsiaTheme="majorEastAsia" w:cstheme="majorBidi"/>
      <w:color w:val="272727" w:themeColor="text1" w:themeTint="D8"/>
    </w:rPr>
  </w:style>
  <w:style w:type="paragraph" w:styleId="Title">
    <w:name w:val="Title"/>
    <w:basedOn w:val="Normal"/>
    <w:next w:val="Normal"/>
    <w:link w:val="TitleChar"/>
    <w:uiPriority w:val="10"/>
    <w:qFormat/>
    <w:rsid w:val="002038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8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8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8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85E"/>
    <w:pPr>
      <w:spacing w:before="160"/>
      <w:jc w:val="center"/>
    </w:pPr>
    <w:rPr>
      <w:i/>
      <w:iCs/>
      <w:color w:val="404040" w:themeColor="text1" w:themeTint="BF"/>
    </w:rPr>
  </w:style>
  <w:style w:type="character" w:customStyle="1" w:styleId="QuoteChar">
    <w:name w:val="Quote Char"/>
    <w:basedOn w:val="DefaultParagraphFont"/>
    <w:link w:val="Quote"/>
    <w:uiPriority w:val="29"/>
    <w:rsid w:val="0020385E"/>
    <w:rPr>
      <w:i/>
      <w:iCs/>
      <w:color w:val="404040" w:themeColor="text1" w:themeTint="BF"/>
    </w:rPr>
  </w:style>
  <w:style w:type="paragraph" w:styleId="ListParagraph">
    <w:name w:val="List Paragraph"/>
    <w:basedOn w:val="Normal"/>
    <w:uiPriority w:val="34"/>
    <w:qFormat/>
    <w:rsid w:val="0020385E"/>
    <w:pPr>
      <w:ind w:left="720"/>
      <w:contextualSpacing/>
    </w:pPr>
  </w:style>
  <w:style w:type="character" w:styleId="IntenseEmphasis">
    <w:name w:val="Intense Emphasis"/>
    <w:basedOn w:val="DefaultParagraphFont"/>
    <w:uiPriority w:val="21"/>
    <w:qFormat/>
    <w:rsid w:val="0020385E"/>
    <w:rPr>
      <w:i/>
      <w:iCs/>
      <w:color w:val="0F4761" w:themeColor="accent1" w:themeShade="BF"/>
    </w:rPr>
  </w:style>
  <w:style w:type="paragraph" w:styleId="IntenseQuote">
    <w:name w:val="Intense Quote"/>
    <w:basedOn w:val="Normal"/>
    <w:next w:val="Normal"/>
    <w:link w:val="IntenseQuoteChar"/>
    <w:uiPriority w:val="30"/>
    <w:qFormat/>
    <w:rsid w:val="002038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85E"/>
    <w:rPr>
      <w:i/>
      <w:iCs/>
      <w:color w:val="0F4761" w:themeColor="accent1" w:themeShade="BF"/>
    </w:rPr>
  </w:style>
  <w:style w:type="character" w:styleId="IntenseReference">
    <w:name w:val="Intense Reference"/>
    <w:basedOn w:val="DefaultParagraphFont"/>
    <w:uiPriority w:val="32"/>
    <w:qFormat/>
    <w:rsid w:val="002038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375</Words>
  <Characters>2170</Characters>
  <Application>Microsoft Office Word</Application>
  <DocSecurity>0</DocSecurity>
  <Lines>65</Lines>
  <Paragraphs>45</Paragraphs>
  <ScaleCrop>false</ScaleCrop>
  <Company>Otago Polytechnic</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O'Fee</dc:creator>
  <cp:keywords/>
  <dc:description/>
  <cp:lastModifiedBy>Jeanette O'Fee</cp:lastModifiedBy>
  <cp:revision>1</cp:revision>
  <dcterms:created xsi:type="dcterms:W3CDTF">2026-01-11T20:56:00Z</dcterms:created>
  <dcterms:modified xsi:type="dcterms:W3CDTF">2026-01-11T20:58:00Z</dcterms:modified>
</cp:coreProperties>
</file>