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77BF" w14:textId="77777777" w:rsidR="007049B9" w:rsidRPr="00EA720E" w:rsidRDefault="007049B9" w:rsidP="007049B9">
      <w:pPr>
        <w:rPr>
          <w:b/>
          <w:bCs/>
          <w:sz w:val="40"/>
          <w:szCs w:val="40"/>
        </w:rPr>
      </w:pPr>
      <w:r w:rsidRPr="00EA720E">
        <w:rPr>
          <w:b/>
          <w:bCs/>
          <w:sz w:val="40"/>
          <w:szCs w:val="40"/>
        </w:rPr>
        <w:t>Appendix F – Interest Rate Risk Control Limits</w:t>
      </w:r>
    </w:p>
    <w:p w14:paraId="7DEE9427" w14:textId="77777777" w:rsidR="007049B9" w:rsidRPr="007049B9" w:rsidRDefault="007049B9" w:rsidP="007049B9">
      <w:pPr>
        <w:rPr>
          <w:rFonts w:ascii="Arial" w:hAnsi="Arial" w:cs="Arial"/>
          <w:sz w:val="24"/>
          <w:szCs w:val="24"/>
          <w:lang w:val="en-US"/>
        </w:rPr>
      </w:pPr>
      <w:r w:rsidRPr="007049B9">
        <w:rPr>
          <w:rFonts w:ascii="Arial" w:hAnsi="Arial" w:cs="Arial"/>
          <w:sz w:val="24"/>
          <w:szCs w:val="24"/>
          <w:lang w:val="en-US"/>
        </w:rPr>
        <w:t>Core Debt fixed/floating mix (applies when Core Debt exceeds $10 million):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049B9" w:rsidRPr="007049B9" w14:paraId="569D89E6" w14:textId="77777777" w:rsidTr="009D7107">
        <w:tc>
          <w:tcPr>
            <w:tcW w:w="3005" w:type="dxa"/>
          </w:tcPr>
          <w:p w14:paraId="44B69E18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Term Band</w:t>
            </w:r>
          </w:p>
        </w:tc>
        <w:tc>
          <w:tcPr>
            <w:tcW w:w="3005" w:type="dxa"/>
          </w:tcPr>
          <w:p w14:paraId="2CDBD75C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Minimum Fixed %</w:t>
            </w:r>
          </w:p>
        </w:tc>
        <w:tc>
          <w:tcPr>
            <w:tcW w:w="3006" w:type="dxa"/>
          </w:tcPr>
          <w:p w14:paraId="08E1B9B2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Maximum Fixed %</w:t>
            </w:r>
          </w:p>
        </w:tc>
      </w:tr>
      <w:tr w:rsidR="007049B9" w:rsidRPr="007049B9" w14:paraId="72413B9B" w14:textId="77777777" w:rsidTr="009D7107">
        <w:tc>
          <w:tcPr>
            <w:tcW w:w="3005" w:type="dxa"/>
          </w:tcPr>
          <w:p w14:paraId="74C02B25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0-1 years</w:t>
            </w:r>
          </w:p>
        </w:tc>
        <w:tc>
          <w:tcPr>
            <w:tcW w:w="3005" w:type="dxa"/>
          </w:tcPr>
          <w:p w14:paraId="0B442E8B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40%</w:t>
            </w:r>
          </w:p>
        </w:tc>
        <w:tc>
          <w:tcPr>
            <w:tcW w:w="3006" w:type="dxa"/>
          </w:tcPr>
          <w:p w14:paraId="51BA46F6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100%</w:t>
            </w:r>
          </w:p>
        </w:tc>
      </w:tr>
      <w:tr w:rsidR="007049B9" w:rsidRPr="007049B9" w14:paraId="02BDF731" w14:textId="77777777" w:rsidTr="009D7107">
        <w:tc>
          <w:tcPr>
            <w:tcW w:w="3005" w:type="dxa"/>
          </w:tcPr>
          <w:p w14:paraId="4B98AD42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1-3 years</w:t>
            </w:r>
          </w:p>
        </w:tc>
        <w:tc>
          <w:tcPr>
            <w:tcW w:w="3005" w:type="dxa"/>
          </w:tcPr>
          <w:p w14:paraId="3B3B91DF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3006" w:type="dxa"/>
          </w:tcPr>
          <w:p w14:paraId="7757EA21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80%</w:t>
            </w:r>
          </w:p>
        </w:tc>
      </w:tr>
      <w:tr w:rsidR="007049B9" w:rsidRPr="007049B9" w14:paraId="1128D0F7" w14:textId="77777777" w:rsidTr="009D7107">
        <w:tc>
          <w:tcPr>
            <w:tcW w:w="3005" w:type="dxa"/>
          </w:tcPr>
          <w:p w14:paraId="4CC0C860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3-5 years</w:t>
            </w:r>
          </w:p>
        </w:tc>
        <w:tc>
          <w:tcPr>
            <w:tcW w:w="3005" w:type="dxa"/>
          </w:tcPr>
          <w:p w14:paraId="1AD3DFD9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20%</w:t>
            </w:r>
          </w:p>
        </w:tc>
        <w:tc>
          <w:tcPr>
            <w:tcW w:w="3006" w:type="dxa"/>
          </w:tcPr>
          <w:p w14:paraId="4D3F5190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70%</w:t>
            </w:r>
          </w:p>
        </w:tc>
      </w:tr>
      <w:tr w:rsidR="007049B9" w:rsidRPr="007049B9" w14:paraId="2DC9805B" w14:textId="77777777" w:rsidTr="009D7107">
        <w:tc>
          <w:tcPr>
            <w:tcW w:w="3005" w:type="dxa"/>
          </w:tcPr>
          <w:p w14:paraId="65E54A6D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5-10 years</w:t>
            </w:r>
          </w:p>
        </w:tc>
        <w:tc>
          <w:tcPr>
            <w:tcW w:w="3005" w:type="dxa"/>
          </w:tcPr>
          <w:p w14:paraId="2865285E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0%</w:t>
            </w:r>
          </w:p>
        </w:tc>
        <w:tc>
          <w:tcPr>
            <w:tcW w:w="3006" w:type="dxa"/>
          </w:tcPr>
          <w:p w14:paraId="4BCA5FC9" w14:textId="77777777" w:rsidR="007049B9" w:rsidRPr="007049B9" w:rsidRDefault="007049B9" w:rsidP="009D71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9B9">
              <w:rPr>
                <w:rFonts w:ascii="Arial" w:hAnsi="Arial" w:cs="Arial"/>
                <w:sz w:val="24"/>
                <w:szCs w:val="24"/>
                <w:lang w:val="en-US"/>
              </w:rPr>
              <w:t>60%</w:t>
            </w:r>
          </w:p>
        </w:tc>
      </w:tr>
    </w:tbl>
    <w:p w14:paraId="264DF0D6" w14:textId="77777777" w:rsidR="007049B9" w:rsidRPr="007049B9" w:rsidRDefault="007049B9" w:rsidP="007049B9">
      <w:pPr>
        <w:rPr>
          <w:rFonts w:ascii="Arial" w:hAnsi="Arial" w:cs="Arial"/>
          <w:sz w:val="24"/>
          <w:szCs w:val="24"/>
        </w:rPr>
      </w:pPr>
      <w:r w:rsidRPr="007049B9">
        <w:rPr>
          <w:rFonts w:ascii="Arial" w:hAnsi="Arial" w:cs="Arial"/>
          <w:sz w:val="24"/>
          <w:szCs w:val="24"/>
        </w:rPr>
        <w:t>* This limit can increase to 100% where facilities are flexible, with ability to repay with less than 30 days’ notice without penalty (i.e. zero-cost right to terminate / repay).</w:t>
      </w:r>
    </w:p>
    <w:p w14:paraId="004DE0F5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B9"/>
    <w:rsid w:val="004E062E"/>
    <w:rsid w:val="006D21E2"/>
    <w:rsid w:val="007049B9"/>
    <w:rsid w:val="00B37240"/>
    <w:rsid w:val="00CC0D78"/>
    <w:rsid w:val="00E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12CD"/>
  <w15:chartTrackingRefBased/>
  <w15:docId w15:val="{B5A74F7E-0B70-4F2A-9C15-EE26DF53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B9"/>
  </w:style>
  <w:style w:type="paragraph" w:styleId="Heading1">
    <w:name w:val="heading 1"/>
    <w:basedOn w:val="Normal"/>
    <w:next w:val="Normal"/>
    <w:link w:val="Heading1Char"/>
    <w:uiPriority w:val="9"/>
    <w:qFormat/>
    <w:rsid w:val="0070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10</Lines>
  <Paragraphs>7</Paragraphs>
  <ScaleCrop>false</ScaleCrop>
  <Company>Otago Polytechnic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2026-01-11T20:54:00Z</dcterms:created>
  <dcterms:modified xsi:type="dcterms:W3CDTF">2026-01-11T20:54:00Z</dcterms:modified>
</cp:coreProperties>
</file>