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4DCB" w14:textId="77777777" w:rsidR="00D84F01" w:rsidRPr="00EA720E" w:rsidRDefault="00D84F01" w:rsidP="00D84F01">
      <w:pPr>
        <w:rPr>
          <w:b/>
          <w:bCs/>
          <w:sz w:val="40"/>
          <w:szCs w:val="40"/>
        </w:rPr>
      </w:pPr>
      <w:r w:rsidRPr="00EA720E">
        <w:rPr>
          <w:b/>
          <w:bCs/>
          <w:sz w:val="40"/>
          <w:szCs w:val="40"/>
        </w:rPr>
        <w:t>Appendix E – Counterparty Credit Limits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2217"/>
      </w:tblGrid>
      <w:tr w:rsidR="00D84F01" w:rsidRPr="00D84F01" w14:paraId="52DD7CD8" w14:textId="77777777" w:rsidTr="009D7107">
        <w:tc>
          <w:tcPr>
            <w:tcW w:w="3397" w:type="dxa"/>
          </w:tcPr>
          <w:p w14:paraId="296341A9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F01">
              <w:rPr>
                <w:rFonts w:ascii="Arial" w:hAnsi="Arial" w:cs="Arial"/>
                <w:b/>
                <w:bCs/>
                <w:sz w:val="24"/>
                <w:szCs w:val="24"/>
              </w:rPr>
              <w:t>Counterparty (Registered Bank)</w:t>
            </w:r>
          </w:p>
        </w:tc>
        <w:tc>
          <w:tcPr>
            <w:tcW w:w="3402" w:type="dxa"/>
          </w:tcPr>
          <w:p w14:paraId="5FDAACDC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F01">
              <w:rPr>
                <w:rFonts w:ascii="Arial" w:hAnsi="Arial" w:cs="Arial"/>
                <w:b/>
                <w:bCs/>
                <w:sz w:val="24"/>
                <w:szCs w:val="24"/>
              </w:rPr>
              <w:t>Credit Rating (S&amp;P rating unless stated otherwise)</w:t>
            </w:r>
          </w:p>
        </w:tc>
        <w:tc>
          <w:tcPr>
            <w:tcW w:w="2217" w:type="dxa"/>
          </w:tcPr>
          <w:p w14:paraId="6326642A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F01">
              <w:rPr>
                <w:rFonts w:ascii="Arial" w:hAnsi="Arial" w:cs="Arial"/>
                <w:b/>
                <w:bCs/>
                <w:sz w:val="24"/>
                <w:szCs w:val="24"/>
              </w:rPr>
              <w:t>Maximum Exposure</w:t>
            </w:r>
          </w:p>
        </w:tc>
      </w:tr>
      <w:tr w:rsidR="00D84F01" w:rsidRPr="00D84F01" w14:paraId="35E74B8F" w14:textId="77777777" w:rsidTr="009D7107">
        <w:tc>
          <w:tcPr>
            <w:tcW w:w="3397" w:type="dxa"/>
          </w:tcPr>
          <w:p w14:paraId="160B3F4A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ANZ Bank New Zealand Limited</w:t>
            </w:r>
          </w:p>
        </w:tc>
        <w:tc>
          <w:tcPr>
            <w:tcW w:w="3402" w:type="dxa"/>
          </w:tcPr>
          <w:p w14:paraId="4887C509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AA-</w:t>
            </w:r>
          </w:p>
        </w:tc>
        <w:tc>
          <w:tcPr>
            <w:tcW w:w="2217" w:type="dxa"/>
          </w:tcPr>
          <w:p w14:paraId="1B9ECB3B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$15 million</w:t>
            </w:r>
          </w:p>
        </w:tc>
      </w:tr>
      <w:tr w:rsidR="00D84F01" w:rsidRPr="00D84F01" w14:paraId="4C56E70A" w14:textId="77777777" w:rsidTr="009D7107">
        <w:tc>
          <w:tcPr>
            <w:tcW w:w="3397" w:type="dxa"/>
          </w:tcPr>
          <w:p w14:paraId="054A7E7A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Bank of New Zealand</w:t>
            </w:r>
          </w:p>
        </w:tc>
        <w:tc>
          <w:tcPr>
            <w:tcW w:w="3402" w:type="dxa"/>
          </w:tcPr>
          <w:p w14:paraId="15E2B36A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AA-</w:t>
            </w:r>
          </w:p>
        </w:tc>
        <w:tc>
          <w:tcPr>
            <w:tcW w:w="2217" w:type="dxa"/>
          </w:tcPr>
          <w:p w14:paraId="3509999D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$15 million</w:t>
            </w:r>
          </w:p>
        </w:tc>
      </w:tr>
      <w:tr w:rsidR="00D84F01" w:rsidRPr="00D84F01" w14:paraId="7BD99782" w14:textId="77777777" w:rsidTr="009D7107">
        <w:tc>
          <w:tcPr>
            <w:tcW w:w="3397" w:type="dxa"/>
          </w:tcPr>
          <w:p w14:paraId="3CEA3DA7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Westpac New Zealand</w:t>
            </w:r>
          </w:p>
        </w:tc>
        <w:tc>
          <w:tcPr>
            <w:tcW w:w="3402" w:type="dxa"/>
          </w:tcPr>
          <w:p w14:paraId="014C1367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AA-</w:t>
            </w:r>
          </w:p>
        </w:tc>
        <w:tc>
          <w:tcPr>
            <w:tcW w:w="2217" w:type="dxa"/>
          </w:tcPr>
          <w:p w14:paraId="5E9100D3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$15 million</w:t>
            </w:r>
          </w:p>
        </w:tc>
      </w:tr>
      <w:tr w:rsidR="00D84F01" w:rsidRPr="00D84F01" w14:paraId="7A19033D" w14:textId="77777777" w:rsidTr="009D7107">
        <w:tc>
          <w:tcPr>
            <w:tcW w:w="3397" w:type="dxa"/>
          </w:tcPr>
          <w:p w14:paraId="6596615E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ASB Bank Limited</w:t>
            </w:r>
          </w:p>
        </w:tc>
        <w:tc>
          <w:tcPr>
            <w:tcW w:w="3402" w:type="dxa"/>
          </w:tcPr>
          <w:p w14:paraId="552238D3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AA-</w:t>
            </w:r>
          </w:p>
        </w:tc>
        <w:tc>
          <w:tcPr>
            <w:tcW w:w="2217" w:type="dxa"/>
          </w:tcPr>
          <w:p w14:paraId="1CEAE327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$15 million</w:t>
            </w:r>
          </w:p>
        </w:tc>
      </w:tr>
      <w:tr w:rsidR="00D84F01" w:rsidRPr="00D84F01" w14:paraId="0F836924" w14:textId="77777777" w:rsidTr="009D7107">
        <w:tc>
          <w:tcPr>
            <w:tcW w:w="3397" w:type="dxa"/>
          </w:tcPr>
          <w:p w14:paraId="2C9E4495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4F01">
              <w:rPr>
                <w:rFonts w:ascii="Arial" w:hAnsi="Arial" w:cs="Arial"/>
                <w:sz w:val="24"/>
                <w:szCs w:val="24"/>
              </w:rPr>
              <w:t>Kiwibank</w:t>
            </w:r>
            <w:proofErr w:type="spellEnd"/>
            <w:r w:rsidRPr="00D84F01">
              <w:rPr>
                <w:rFonts w:ascii="Arial" w:hAnsi="Arial" w:cs="Arial"/>
                <w:sz w:val="24"/>
                <w:szCs w:val="24"/>
              </w:rPr>
              <w:t xml:space="preserve"> Limited</w:t>
            </w:r>
          </w:p>
        </w:tc>
        <w:tc>
          <w:tcPr>
            <w:tcW w:w="3402" w:type="dxa"/>
          </w:tcPr>
          <w:p w14:paraId="4EB9C0B3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A1 (Moody’s)</w:t>
            </w:r>
          </w:p>
        </w:tc>
        <w:tc>
          <w:tcPr>
            <w:tcW w:w="2217" w:type="dxa"/>
          </w:tcPr>
          <w:p w14:paraId="47227230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$10 million</w:t>
            </w:r>
          </w:p>
        </w:tc>
      </w:tr>
      <w:tr w:rsidR="00D84F01" w:rsidRPr="00D84F01" w14:paraId="716E54E2" w14:textId="77777777" w:rsidTr="009D7107">
        <w:tc>
          <w:tcPr>
            <w:tcW w:w="3397" w:type="dxa"/>
          </w:tcPr>
          <w:p w14:paraId="3F654B6A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Rabobank New Zealand</w:t>
            </w:r>
          </w:p>
        </w:tc>
        <w:tc>
          <w:tcPr>
            <w:tcW w:w="3402" w:type="dxa"/>
          </w:tcPr>
          <w:p w14:paraId="2C0B0A56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A+</w:t>
            </w:r>
          </w:p>
        </w:tc>
        <w:tc>
          <w:tcPr>
            <w:tcW w:w="2217" w:type="dxa"/>
          </w:tcPr>
          <w:p w14:paraId="3E983D24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$10 million</w:t>
            </w:r>
          </w:p>
        </w:tc>
      </w:tr>
      <w:tr w:rsidR="00D84F01" w:rsidRPr="00D84F01" w14:paraId="0E9102D5" w14:textId="77777777" w:rsidTr="009D7107">
        <w:tc>
          <w:tcPr>
            <w:tcW w:w="3397" w:type="dxa"/>
          </w:tcPr>
          <w:p w14:paraId="30BB54E5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Bank of China (New Zealand)</w:t>
            </w:r>
          </w:p>
        </w:tc>
        <w:tc>
          <w:tcPr>
            <w:tcW w:w="3402" w:type="dxa"/>
          </w:tcPr>
          <w:p w14:paraId="1DB49329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17" w:type="dxa"/>
          </w:tcPr>
          <w:p w14:paraId="337E47B0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$10 million</w:t>
            </w:r>
          </w:p>
        </w:tc>
      </w:tr>
      <w:tr w:rsidR="00D84F01" w:rsidRPr="00D84F01" w14:paraId="55B24670" w14:textId="77777777" w:rsidTr="009D7107">
        <w:tc>
          <w:tcPr>
            <w:tcW w:w="3397" w:type="dxa"/>
          </w:tcPr>
          <w:p w14:paraId="6C265B53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China Construction Bank New Zealand</w:t>
            </w:r>
          </w:p>
        </w:tc>
        <w:tc>
          <w:tcPr>
            <w:tcW w:w="3402" w:type="dxa"/>
          </w:tcPr>
          <w:p w14:paraId="168A76F7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A1 (Moody’s)</w:t>
            </w:r>
          </w:p>
        </w:tc>
        <w:tc>
          <w:tcPr>
            <w:tcW w:w="2217" w:type="dxa"/>
          </w:tcPr>
          <w:p w14:paraId="5902A64A" w14:textId="77777777" w:rsidR="00D84F01" w:rsidRPr="00D84F01" w:rsidRDefault="00D84F01" w:rsidP="009D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01">
              <w:rPr>
                <w:rFonts w:ascii="Arial" w:hAnsi="Arial" w:cs="Arial"/>
                <w:sz w:val="24"/>
                <w:szCs w:val="24"/>
              </w:rPr>
              <w:t>$10 million</w:t>
            </w:r>
          </w:p>
        </w:tc>
      </w:tr>
    </w:tbl>
    <w:p w14:paraId="3345238F" w14:textId="77777777" w:rsidR="00D84F01" w:rsidRPr="00D84F01" w:rsidRDefault="00D84F01" w:rsidP="00D84F01">
      <w:pPr>
        <w:pStyle w:val="ListParagraph"/>
        <w:rPr>
          <w:rFonts w:ascii="Arial" w:hAnsi="Arial" w:cs="Arial"/>
          <w:sz w:val="24"/>
          <w:szCs w:val="24"/>
        </w:rPr>
      </w:pPr>
    </w:p>
    <w:p w14:paraId="7E71FBDD" w14:textId="77777777" w:rsidR="00D84F01" w:rsidRPr="00D84F01" w:rsidRDefault="00D84F01" w:rsidP="00D84F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4F01">
        <w:rPr>
          <w:rFonts w:ascii="Arial" w:hAnsi="Arial" w:cs="Arial"/>
          <w:sz w:val="24"/>
          <w:szCs w:val="24"/>
        </w:rPr>
        <w:t>No more than 50% of total treasury investments may be with any single counterparty.</w:t>
      </w:r>
    </w:p>
    <w:p w14:paraId="75D84218" w14:textId="77777777" w:rsidR="00D84F01" w:rsidRPr="00D84F01" w:rsidRDefault="00D84F01" w:rsidP="00D84F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4F01">
        <w:rPr>
          <w:rFonts w:ascii="Arial" w:hAnsi="Arial" w:cs="Arial"/>
          <w:sz w:val="24"/>
          <w:szCs w:val="24"/>
        </w:rPr>
        <w:t>Derivatives may only be executed with counterparties with ISDA documentation.</w:t>
      </w:r>
    </w:p>
    <w:p w14:paraId="046C99D2" w14:textId="77777777" w:rsidR="00D84F01" w:rsidRPr="00D84F01" w:rsidRDefault="00D84F01" w:rsidP="00D84F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  <w:sectPr w:rsidR="00D84F01" w:rsidRPr="00D84F01" w:rsidSect="00D84F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84F01">
        <w:rPr>
          <w:rFonts w:ascii="Arial" w:hAnsi="Arial" w:cs="Arial"/>
          <w:sz w:val="24"/>
          <w:szCs w:val="24"/>
        </w:rPr>
        <w:t>Counterparties must have a minimum credit rating of A-(S&amp;P) or A3(Moody’s) at the time of entering a transaction.</w:t>
      </w:r>
    </w:p>
    <w:p w14:paraId="2AEFE58F" w14:textId="77777777" w:rsidR="00CC0D78" w:rsidRPr="004E062E" w:rsidRDefault="00CC0D78">
      <w:pPr>
        <w:rPr>
          <w:rFonts w:ascii="Arial" w:hAnsi="Arial" w:cs="Arial"/>
        </w:rPr>
      </w:pPr>
    </w:p>
    <w:sectPr w:rsidR="00CC0D78" w:rsidRPr="004E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2723"/>
    <w:multiLevelType w:val="hybridMultilevel"/>
    <w:tmpl w:val="66C4C6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4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01"/>
    <w:rsid w:val="004E062E"/>
    <w:rsid w:val="006D21E2"/>
    <w:rsid w:val="00B37240"/>
    <w:rsid w:val="00CC0D78"/>
    <w:rsid w:val="00D84F01"/>
    <w:rsid w:val="00E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822F"/>
  <w15:chartTrackingRefBased/>
  <w15:docId w15:val="{45417801-7127-4947-9419-5B1CB4BB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F01"/>
  </w:style>
  <w:style w:type="paragraph" w:styleId="Heading1">
    <w:name w:val="heading 1"/>
    <w:basedOn w:val="Normal"/>
    <w:next w:val="Normal"/>
    <w:link w:val="Heading1Char"/>
    <w:uiPriority w:val="9"/>
    <w:qFormat/>
    <w:rsid w:val="00D84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F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4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646</Characters>
  <Application>Microsoft Office Word</Application>
  <DocSecurity>0</DocSecurity>
  <Lines>19</Lines>
  <Paragraphs>13</Paragraphs>
  <ScaleCrop>false</ScaleCrop>
  <Company>Otago Polytechnic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1</cp:revision>
  <dcterms:created xsi:type="dcterms:W3CDTF">2026-01-11T20:51:00Z</dcterms:created>
  <dcterms:modified xsi:type="dcterms:W3CDTF">2026-01-11T20:52:00Z</dcterms:modified>
</cp:coreProperties>
</file>