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AB12" w14:textId="77777777" w:rsidR="008C7956" w:rsidRPr="00EA720E" w:rsidRDefault="008C7956" w:rsidP="008C7956">
      <w:pPr>
        <w:rPr>
          <w:b/>
          <w:bCs/>
          <w:sz w:val="40"/>
          <w:szCs w:val="40"/>
        </w:rPr>
      </w:pPr>
      <w:r w:rsidRPr="00EA720E">
        <w:rPr>
          <w:b/>
          <w:bCs/>
          <w:sz w:val="40"/>
          <w:szCs w:val="40"/>
        </w:rPr>
        <w:t>Appendix B – Treasury Management Roles and Responsibilities</w:t>
      </w:r>
    </w:p>
    <w:p w14:paraId="66C5B292" w14:textId="77777777" w:rsidR="008C7956" w:rsidRPr="00EA720E" w:rsidRDefault="008C7956" w:rsidP="008C7956">
      <w:pPr>
        <w:rPr>
          <w:b/>
          <w:bCs/>
          <w:sz w:val="28"/>
          <w:szCs w:val="28"/>
        </w:rPr>
      </w:pPr>
      <w:r w:rsidRPr="00EA720E">
        <w:rPr>
          <w:noProof/>
        </w:rPr>
        <mc:AlternateContent>
          <mc:Choice Requires="wpc">
            <w:drawing>
              <wp:anchor distT="0" distB="0" distL="114300" distR="114300" simplePos="0" relativeHeight="251659264" behindDoc="1" locked="0" layoutInCell="1" allowOverlap="1" wp14:anchorId="7994E5EC" wp14:editId="60459A19">
                <wp:simplePos x="0" y="0"/>
                <wp:positionH relativeFrom="margin">
                  <wp:align>center</wp:align>
                </wp:positionH>
                <wp:positionV relativeFrom="page">
                  <wp:posOffset>1981201</wp:posOffset>
                </wp:positionV>
                <wp:extent cx="4133850" cy="7136957"/>
                <wp:effectExtent l="0" t="0" r="0" b="26035"/>
                <wp:wrapThrough wrapText="bothSides">
                  <wp:wrapPolygon edited="0">
                    <wp:start x="0" y="0"/>
                    <wp:lineTo x="0" y="21621"/>
                    <wp:lineTo x="896" y="21621"/>
                    <wp:lineTo x="21202" y="21621"/>
                    <wp:lineTo x="21500" y="21621"/>
                    <wp:lineTo x="21500" y="0"/>
                    <wp:lineTo x="0" y="0"/>
                  </wp:wrapPolygon>
                </wp:wrapThrough>
                <wp:docPr id="133349520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95990849" name="Text Box 2"/>
                        <wps:cNvSpPr txBox="1">
                          <a:spLocks noChangeArrowheads="1"/>
                        </wps:cNvSpPr>
                        <wps:spPr bwMode="auto">
                          <a:xfrm>
                            <a:off x="209543" y="76200"/>
                            <a:ext cx="3810634" cy="1235074"/>
                          </a:xfrm>
                          <a:prstGeom prst="rect">
                            <a:avLst/>
                          </a:prstGeom>
                          <a:solidFill>
                            <a:srgbClr val="FFFFFF"/>
                          </a:solidFill>
                          <a:ln w="9525">
                            <a:solidFill>
                              <a:srgbClr val="000000"/>
                            </a:solidFill>
                            <a:miter lim="800000"/>
                            <a:headEnd/>
                            <a:tailEnd/>
                          </a:ln>
                        </wps:spPr>
                        <wps:txbx>
                          <w:txbxContent>
                            <w:p w14:paraId="0DCDFD60" w14:textId="77777777" w:rsidR="008C7956" w:rsidRPr="008C7956" w:rsidRDefault="008C7956" w:rsidP="008C7956">
                              <w:pPr>
                                <w:spacing w:line="256" w:lineRule="auto"/>
                                <w:jc w:val="center"/>
                                <w:rPr>
                                  <w:rFonts w:ascii="Aptos" w:eastAsia="Aptos" w:hAnsi="Aptos"/>
                                  <w:b/>
                                  <w:bCs/>
                                  <w:sz w:val="24"/>
                                  <w:szCs w:val="24"/>
                                  <w14:ligatures w14:val="none"/>
                                </w:rPr>
                              </w:pPr>
                              <w:r w:rsidRPr="008C7956">
                                <w:rPr>
                                  <w:rFonts w:ascii="Aptos" w:eastAsia="Aptos" w:hAnsi="Aptos"/>
                                  <w:b/>
                                  <w:bCs/>
                                  <w:sz w:val="24"/>
                                  <w:szCs w:val="24"/>
                                </w:rPr>
                                <w:t>Otago Polytechnic Council</w:t>
                              </w:r>
                            </w:p>
                            <w:p w14:paraId="327E15FB" w14:textId="77777777" w:rsidR="008C7956" w:rsidRPr="008C7956" w:rsidRDefault="008C7956" w:rsidP="008C7956">
                              <w:pPr>
                                <w:pStyle w:val="ListParagraph"/>
                                <w:numPr>
                                  <w:ilvl w:val="0"/>
                                  <w:numId w:val="4"/>
                                </w:numPr>
                                <w:spacing w:after="0" w:line="256" w:lineRule="auto"/>
                                <w:rPr>
                                  <w:rFonts w:ascii="Aptos" w:eastAsia="Aptos" w:hAnsi="Aptos"/>
                                  <w:sz w:val="24"/>
                                  <w:szCs w:val="24"/>
                                </w:rPr>
                              </w:pPr>
                              <w:r w:rsidRPr="008C7956">
                                <w:rPr>
                                  <w:rFonts w:ascii="Aptos" w:eastAsia="Aptos" w:hAnsi="Aptos"/>
                                  <w:sz w:val="24"/>
                                  <w:szCs w:val="24"/>
                                </w:rPr>
                                <w:t>Approves the Treasury Management Policy</w:t>
                              </w:r>
                            </w:p>
                            <w:p w14:paraId="2A1E0A50" w14:textId="77777777" w:rsidR="008C7956" w:rsidRPr="008C7956" w:rsidRDefault="008C7956" w:rsidP="008C7956">
                              <w:pPr>
                                <w:pStyle w:val="ListParagraph"/>
                                <w:numPr>
                                  <w:ilvl w:val="0"/>
                                  <w:numId w:val="4"/>
                                </w:numPr>
                                <w:spacing w:after="0" w:line="256" w:lineRule="auto"/>
                                <w:rPr>
                                  <w:rFonts w:ascii="Aptos" w:eastAsia="Aptos" w:hAnsi="Aptos"/>
                                  <w:sz w:val="24"/>
                                  <w:szCs w:val="24"/>
                                </w:rPr>
                              </w:pPr>
                              <w:r w:rsidRPr="008C7956">
                                <w:rPr>
                                  <w:rFonts w:ascii="Aptos" w:eastAsia="Aptos" w:hAnsi="Aptos"/>
                                  <w:sz w:val="24"/>
                                  <w:szCs w:val="24"/>
                                </w:rPr>
                                <w:t>Approves borrowing levels</w:t>
                              </w:r>
                            </w:p>
                            <w:p w14:paraId="5D7E6784" w14:textId="77777777" w:rsidR="008C7956" w:rsidRPr="008C7956" w:rsidRDefault="008C7956" w:rsidP="008C7956">
                              <w:pPr>
                                <w:pStyle w:val="ListParagraph"/>
                                <w:numPr>
                                  <w:ilvl w:val="0"/>
                                  <w:numId w:val="4"/>
                                </w:numPr>
                                <w:spacing w:after="0" w:line="256" w:lineRule="auto"/>
                                <w:rPr>
                                  <w:rFonts w:ascii="Aptos" w:eastAsia="Aptos" w:hAnsi="Aptos"/>
                                  <w:sz w:val="24"/>
                                  <w:szCs w:val="24"/>
                                </w:rPr>
                              </w:pPr>
                              <w:r w:rsidRPr="008C7956">
                                <w:rPr>
                                  <w:rFonts w:ascii="Aptos" w:eastAsia="Aptos" w:hAnsi="Aptos"/>
                                  <w:sz w:val="24"/>
                                  <w:szCs w:val="24"/>
                                </w:rPr>
                                <w:t>Approves major facilities</w:t>
                              </w:r>
                            </w:p>
                            <w:p w14:paraId="55562598" w14:textId="77777777" w:rsidR="008C7956" w:rsidRPr="008C7956" w:rsidRDefault="008C7956" w:rsidP="008C7956">
                              <w:pPr>
                                <w:pStyle w:val="ListParagraph"/>
                                <w:numPr>
                                  <w:ilvl w:val="0"/>
                                  <w:numId w:val="4"/>
                                </w:numPr>
                                <w:spacing w:after="0" w:line="256" w:lineRule="auto"/>
                                <w:rPr>
                                  <w:rFonts w:ascii="Aptos" w:eastAsia="Aptos" w:hAnsi="Aptos"/>
                                  <w:sz w:val="24"/>
                                  <w:szCs w:val="24"/>
                                </w:rPr>
                              </w:pPr>
                              <w:r w:rsidRPr="008C7956">
                                <w:rPr>
                                  <w:rFonts w:ascii="Aptos" w:eastAsia="Aptos" w:hAnsi="Aptos"/>
                                  <w:sz w:val="24"/>
                                  <w:szCs w:val="24"/>
                                </w:rPr>
                                <w:t>Receives Treasury reporting</w:t>
                              </w:r>
                            </w:p>
                          </w:txbxContent>
                        </wps:txbx>
                        <wps:bodyPr rot="0" vert="horz" wrap="square" lIns="91440" tIns="45720" rIns="91440" bIns="45720" anchor="t" anchorCtr="0">
                          <a:spAutoFit/>
                        </wps:bodyPr>
                      </wps:wsp>
                      <wps:wsp>
                        <wps:cNvPr id="2042539422" name="Text Box 2"/>
                        <wps:cNvSpPr txBox="1">
                          <a:spLocks noChangeArrowheads="1"/>
                        </wps:cNvSpPr>
                        <wps:spPr bwMode="auto">
                          <a:xfrm>
                            <a:off x="207774" y="1522464"/>
                            <a:ext cx="3811904" cy="807719"/>
                          </a:xfrm>
                          <a:prstGeom prst="rect">
                            <a:avLst/>
                          </a:prstGeom>
                          <a:solidFill>
                            <a:srgbClr val="FFFFFF"/>
                          </a:solidFill>
                          <a:ln w="9525">
                            <a:solidFill>
                              <a:srgbClr val="000000"/>
                            </a:solidFill>
                            <a:miter lim="800000"/>
                            <a:headEnd/>
                            <a:tailEnd/>
                          </a:ln>
                        </wps:spPr>
                        <wps:txbx>
                          <w:txbxContent>
                            <w:p w14:paraId="75566111" w14:textId="77777777" w:rsidR="008C7956" w:rsidRPr="008C7956" w:rsidRDefault="008C7956" w:rsidP="008C7956">
                              <w:pPr>
                                <w:spacing w:line="256" w:lineRule="auto"/>
                                <w:jc w:val="center"/>
                                <w:rPr>
                                  <w:rFonts w:ascii="Aptos" w:eastAsia="Aptos" w:hAnsi="Aptos"/>
                                  <w:b/>
                                  <w:bCs/>
                                  <w:sz w:val="24"/>
                                  <w:szCs w:val="24"/>
                                  <w14:ligatures w14:val="none"/>
                                </w:rPr>
                              </w:pPr>
                              <w:r w:rsidRPr="008C7956">
                                <w:rPr>
                                  <w:rFonts w:ascii="Aptos" w:eastAsia="Aptos" w:hAnsi="Aptos"/>
                                  <w:b/>
                                  <w:bCs/>
                                  <w:sz w:val="24"/>
                                  <w:szCs w:val="24"/>
                                </w:rPr>
                                <w:t>Finance, Risk and Audit Committee</w:t>
                              </w:r>
                            </w:p>
                            <w:p w14:paraId="0DD6C6AF" w14:textId="77777777" w:rsidR="008C7956" w:rsidRPr="008C7956" w:rsidRDefault="008C7956" w:rsidP="008C7956">
                              <w:pPr>
                                <w:pStyle w:val="ListParagraph"/>
                                <w:numPr>
                                  <w:ilvl w:val="0"/>
                                  <w:numId w:val="4"/>
                                </w:numPr>
                                <w:spacing w:after="0" w:line="256" w:lineRule="auto"/>
                                <w:rPr>
                                  <w:rFonts w:ascii="Aptos" w:eastAsia="Aptos" w:hAnsi="Aptos"/>
                                  <w:sz w:val="24"/>
                                  <w:szCs w:val="24"/>
                                </w:rPr>
                              </w:pPr>
                              <w:r w:rsidRPr="008C7956">
                                <w:rPr>
                                  <w:rFonts w:ascii="Aptos" w:eastAsia="Aptos" w:hAnsi="Aptos"/>
                                  <w:sz w:val="24"/>
                                  <w:szCs w:val="24"/>
                                </w:rPr>
                                <w:t>Reviews, recommends and monitors the Treasury Management Policy</w:t>
                              </w:r>
                            </w:p>
                          </w:txbxContent>
                        </wps:txbx>
                        <wps:bodyPr rot="0" vert="horz" wrap="square" lIns="91440" tIns="45720" rIns="91440" bIns="45720" anchor="t" anchorCtr="0">
                          <a:spAutoFit/>
                        </wps:bodyPr>
                      </wps:wsp>
                      <wps:wsp>
                        <wps:cNvPr id="1244855011" name="Text Box 2"/>
                        <wps:cNvSpPr txBox="1">
                          <a:spLocks noChangeArrowheads="1"/>
                        </wps:cNvSpPr>
                        <wps:spPr bwMode="auto">
                          <a:xfrm>
                            <a:off x="207614" y="2398161"/>
                            <a:ext cx="3812539" cy="1423669"/>
                          </a:xfrm>
                          <a:prstGeom prst="rect">
                            <a:avLst/>
                          </a:prstGeom>
                          <a:solidFill>
                            <a:srgbClr val="FFFFFF"/>
                          </a:solidFill>
                          <a:ln w="9525">
                            <a:solidFill>
                              <a:srgbClr val="000000"/>
                            </a:solidFill>
                            <a:miter lim="800000"/>
                            <a:headEnd/>
                            <a:tailEnd/>
                          </a:ln>
                        </wps:spPr>
                        <wps:txbx>
                          <w:txbxContent>
                            <w:p w14:paraId="68A042D7" w14:textId="77777777" w:rsidR="008C7956" w:rsidRPr="008C7956" w:rsidRDefault="008C7956" w:rsidP="008C7956">
                              <w:pPr>
                                <w:spacing w:line="256" w:lineRule="auto"/>
                                <w:jc w:val="center"/>
                                <w:rPr>
                                  <w:rFonts w:ascii="Aptos" w:eastAsia="Aptos" w:hAnsi="Aptos"/>
                                  <w:b/>
                                  <w:bCs/>
                                  <w:sz w:val="24"/>
                                  <w:szCs w:val="24"/>
                                  <w14:ligatures w14:val="none"/>
                                </w:rPr>
                              </w:pPr>
                              <w:r w:rsidRPr="008C7956">
                                <w:rPr>
                                  <w:rFonts w:ascii="Aptos" w:eastAsia="Aptos" w:hAnsi="Aptos"/>
                                  <w:b/>
                                  <w:bCs/>
                                  <w:sz w:val="24"/>
                                  <w:szCs w:val="24"/>
                                </w:rPr>
                                <w:t>Chief Executive</w:t>
                              </w:r>
                            </w:p>
                            <w:p w14:paraId="67311515" w14:textId="77777777" w:rsidR="008C7956" w:rsidRPr="008C7956" w:rsidRDefault="008C7956" w:rsidP="008C7956">
                              <w:pPr>
                                <w:pStyle w:val="ListParagraph"/>
                                <w:numPr>
                                  <w:ilvl w:val="0"/>
                                  <w:numId w:val="5"/>
                                </w:numPr>
                                <w:spacing w:after="0" w:line="256" w:lineRule="auto"/>
                                <w:rPr>
                                  <w:rFonts w:ascii="Aptos" w:eastAsia="Aptos" w:hAnsi="Aptos"/>
                                  <w:sz w:val="24"/>
                                  <w:szCs w:val="24"/>
                                </w:rPr>
                              </w:pPr>
                              <w:r w:rsidRPr="008C7956">
                                <w:rPr>
                                  <w:rFonts w:ascii="Aptos" w:eastAsia="Aptos" w:hAnsi="Aptos"/>
                                  <w:sz w:val="24"/>
                                  <w:szCs w:val="24"/>
                                </w:rPr>
                                <w:t>Implements the Treasury Management Policy</w:t>
                              </w:r>
                            </w:p>
                            <w:p w14:paraId="6102C4CE" w14:textId="77777777" w:rsidR="008C7956" w:rsidRPr="008C7956" w:rsidRDefault="008C7956" w:rsidP="008C7956">
                              <w:pPr>
                                <w:pStyle w:val="ListParagraph"/>
                                <w:numPr>
                                  <w:ilvl w:val="0"/>
                                  <w:numId w:val="5"/>
                                </w:numPr>
                                <w:spacing w:after="0" w:line="256" w:lineRule="auto"/>
                                <w:rPr>
                                  <w:rFonts w:ascii="Aptos" w:eastAsia="Aptos" w:hAnsi="Aptos"/>
                                  <w:sz w:val="24"/>
                                  <w:szCs w:val="24"/>
                                </w:rPr>
                              </w:pPr>
                              <w:r w:rsidRPr="008C7956">
                                <w:rPr>
                                  <w:rFonts w:ascii="Aptos" w:eastAsia="Aptos" w:hAnsi="Aptos"/>
                                  <w:sz w:val="24"/>
                                  <w:szCs w:val="24"/>
                                </w:rPr>
                                <w:t>Delegates day-to-day oversight of Treasury Management to the CFO</w:t>
                              </w:r>
                            </w:p>
                            <w:p w14:paraId="42450E8B" w14:textId="77777777" w:rsidR="008C7956" w:rsidRPr="008C7956" w:rsidRDefault="008C7956" w:rsidP="008C7956">
                              <w:pPr>
                                <w:pStyle w:val="ListParagraph"/>
                                <w:numPr>
                                  <w:ilvl w:val="0"/>
                                  <w:numId w:val="5"/>
                                </w:numPr>
                                <w:spacing w:after="0" w:line="256" w:lineRule="auto"/>
                                <w:rPr>
                                  <w:rFonts w:ascii="Aptos" w:eastAsia="Aptos" w:hAnsi="Aptos"/>
                                  <w:sz w:val="24"/>
                                  <w:szCs w:val="24"/>
                                </w:rPr>
                              </w:pPr>
                              <w:r w:rsidRPr="008C7956">
                                <w:rPr>
                                  <w:rFonts w:ascii="Aptos" w:eastAsia="Aptos" w:hAnsi="Aptos"/>
                                  <w:sz w:val="24"/>
                                  <w:szCs w:val="24"/>
                                </w:rPr>
                                <w:t xml:space="preserve">Approves transactions within delegated authority </w:t>
                              </w:r>
                            </w:p>
                          </w:txbxContent>
                        </wps:txbx>
                        <wps:bodyPr rot="0" vert="horz" wrap="square" lIns="91440" tIns="45720" rIns="91440" bIns="45720" anchor="t" anchorCtr="0">
                          <a:spAutoFit/>
                        </wps:bodyPr>
                      </wps:wsp>
                      <wps:wsp>
                        <wps:cNvPr id="900383904" name="Text Box 2"/>
                        <wps:cNvSpPr txBox="1">
                          <a:spLocks noChangeArrowheads="1"/>
                        </wps:cNvSpPr>
                        <wps:spPr bwMode="auto">
                          <a:xfrm>
                            <a:off x="209540" y="3912042"/>
                            <a:ext cx="3811904" cy="1433829"/>
                          </a:xfrm>
                          <a:prstGeom prst="rect">
                            <a:avLst/>
                          </a:prstGeom>
                          <a:solidFill>
                            <a:srgbClr val="FFFFFF"/>
                          </a:solidFill>
                          <a:ln w="9525">
                            <a:solidFill>
                              <a:srgbClr val="000000"/>
                            </a:solidFill>
                            <a:miter lim="800000"/>
                            <a:headEnd/>
                            <a:tailEnd/>
                          </a:ln>
                        </wps:spPr>
                        <wps:txbx>
                          <w:txbxContent>
                            <w:p w14:paraId="6B141049" w14:textId="77777777" w:rsidR="008C7956" w:rsidRPr="008C7956" w:rsidRDefault="008C7956" w:rsidP="008C7956">
                              <w:pPr>
                                <w:spacing w:line="256" w:lineRule="auto"/>
                                <w:jc w:val="center"/>
                                <w:rPr>
                                  <w:rFonts w:ascii="Aptos" w:eastAsia="Aptos" w:hAnsi="Aptos"/>
                                  <w:b/>
                                  <w:bCs/>
                                  <w:sz w:val="24"/>
                                  <w:szCs w:val="24"/>
                                  <w14:ligatures w14:val="none"/>
                                </w:rPr>
                              </w:pPr>
                              <w:r w:rsidRPr="008C7956">
                                <w:rPr>
                                  <w:rFonts w:ascii="Aptos" w:eastAsia="Aptos" w:hAnsi="Aptos"/>
                                  <w:b/>
                                  <w:bCs/>
                                  <w:sz w:val="24"/>
                                  <w:szCs w:val="24"/>
                                </w:rPr>
                                <w:t>Chief Financial Officer (CFO)</w:t>
                              </w:r>
                            </w:p>
                            <w:p w14:paraId="7BC19EB3" w14:textId="77777777" w:rsidR="008C7956" w:rsidRPr="008C7956" w:rsidRDefault="008C7956" w:rsidP="008C7956">
                              <w:pPr>
                                <w:pStyle w:val="ListParagraph"/>
                                <w:numPr>
                                  <w:ilvl w:val="0"/>
                                  <w:numId w:val="6"/>
                                </w:numPr>
                                <w:spacing w:after="0" w:line="256" w:lineRule="auto"/>
                                <w:rPr>
                                  <w:rFonts w:ascii="Aptos" w:eastAsia="Aptos" w:hAnsi="Aptos"/>
                                  <w:sz w:val="24"/>
                                  <w:szCs w:val="24"/>
                                </w:rPr>
                              </w:pPr>
                              <w:r w:rsidRPr="008C7956">
                                <w:rPr>
                                  <w:rFonts w:ascii="Aptos" w:eastAsia="Aptos" w:hAnsi="Aptos"/>
                                  <w:sz w:val="24"/>
                                  <w:szCs w:val="24"/>
                                </w:rPr>
                                <w:t>Manages banking relationships</w:t>
                              </w:r>
                            </w:p>
                            <w:p w14:paraId="4DF245AB" w14:textId="77777777" w:rsidR="008C7956" w:rsidRPr="008C7956" w:rsidRDefault="008C7956" w:rsidP="008C7956">
                              <w:pPr>
                                <w:pStyle w:val="ListParagraph"/>
                                <w:numPr>
                                  <w:ilvl w:val="0"/>
                                  <w:numId w:val="6"/>
                                </w:numPr>
                                <w:spacing w:after="0" w:line="256" w:lineRule="auto"/>
                                <w:rPr>
                                  <w:rFonts w:ascii="Aptos" w:eastAsia="Aptos" w:hAnsi="Aptos"/>
                                  <w:sz w:val="24"/>
                                  <w:szCs w:val="24"/>
                                </w:rPr>
                              </w:pPr>
                              <w:r w:rsidRPr="008C7956">
                                <w:rPr>
                                  <w:rFonts w:ascii="Aptos" w:eastAsia="Aptos" w:hAnsi="Aptos"/>
                                  <w:sz w:val="24"/>
                                  <w:szCs w:val="24"/>
                                </w:rPr>
                                <w:t>Ensures compliance</w:t>
                              </w:r>
                            </w:p>
                            <w:p w14:paraId="626788B6" w14:textId="77777777" w:rsidR="008C7956" w:rsidRPr="008C7956" w:rsidRDefault="008C7956" w:rsidP="008C7956">
                              <w:pPr>
                                <w:pStyle w:val="ListParagraph"/>
                                <w:numPr>
                                  <w:ilvl w:val="0"/>
                                  <w:numId w:val="6"/>
                                </w:numPr>
                                <w:spacing w:after="0" w:line="256" w:lineRule="auto"/>
                                <w:rPr>
                                  <w:rFonts w:ascii="Aptos" w:eastAsia="Aptos" w:hAnsi="Aptos"/>
                                  <w:sz w:val="24"/>
                                  <w:szCs w:val="24"/>
                                </w:rPr>
                              </w:pPr>
                              <w:r w:rsidRPr="008C7956">
                                <w:rPr>
                                  <w:rFonts w:ascii="Aptos" w:eastAsia="Aptos" w:hAnsi="Aptos"/>
                                  <w:sz w:val="24"/>
                                  <w:szCs w:val="24"/>
                                </w:rPr>
                                <w:t>Oversees treasury activities</w:t>
                              </w:r>
                            </w:p>
                            <w:p w14:paraId="38F494EB" w14:textId="77777777" w:rsidR="008C7956" w:rsidRPr="008C7956" w:rsidRDefault="008C7956" w:rsidP="008C7956">
                              <w:pPr>
                                <w:pStyle w:val="ListParagraph"/>
                                <w:numPr>
                                  <w:ilvl w:val="0"/>
                                  <w:numId w:val="6"/>
                                </w:numPr>
                                <w:spacing w:after="0" w:line="256" w:lineRule="auto"/>
                                <w:rPr>
                                  <w:rFonts w:ascii="Aptos" w:eastAsia="Aptos" w:hAnsi="Aptos"/>
                                  <w:sz w:val="24"/>
                                  <w:szCs w:val="24"/>
                                </w:rPr>
                              </w:pPr>
                              <w:r w:rsidRPr="008C7956">
                                <w:rPr>
                                  <w:rFonts w:ascii="Aptos" w:eastAsia="Aptos" w:hAnsi="Aptos"/>
                                  <w:sz w:val="24"/>
                                  <w:szCs w:val="24"/>
                                </w:rPr>
                                <w:t xml:space="preserve">Approves transactions within delegated authority </w:t>
                              </w:r>
                            </w:p>
                          </w:txbxContent>
                        </wps:txbx>
                        <wps:bodyPr rot="0" vert="horz" wrap="square" lIns="91440" tIns="45720" rIns="91440" bIns="45720" anchor="t" anchorCtr="0">
                          <a:spAutoFit/>
                        </wps:bodyPr>
                      </wps:wsp>
                      <wps:wsp>
                        <wps:cNvPr id="266261537" name="Text Box 2"/>
                        <wps:cNvSpPr txBox="1">
                          <a:spLocks noChangeArrowheads="1"/>
                        </wps:cNvSpPr>
                        <wps:spPr bwMode="auto">
                          <a:xfrm>
                            <a:off x="209546" y="5316413"/>
                            <a:ext cx="3811904" cy="1820544"/>
                          </a:xfrm>
                          <a:prstGeom prst="rect">
                            <a:avLst/>
                          </a:prstGeom>
                          <a:solidFill>
                            <a:srgbClr val="FFFFFF"/>
                          </a:solidFill>
                          <a:ln w="9525">
                            <a:solidFill>
                              <a:srgbClr val="000000"/>
                            </a:solidFill>
                            <a:miter lim="800000"/>
                            <a:headEnd/>
                            <a:tailEnd/>
                          </a:ln>
                        </wps:spPr>
                        <wps:txbx>
                          <w:txbxContent>
                            <w:p w14:paraId="5493BC52" w14:textId="77777777" w:rsidR="008C7956" w:rsidRPr="008C7956" w:rsidRDefault="008C7956" w:rsidP="008C7956">
                              <w:pPr>
                                <w:spacing w:line="256" w:lineRule="auto"/>
                                <w:jc w:val="center"/>
                                <w:rPr>
                                  <w:rFonts w:ascii="Aptos" w:eastAsia="Aptos" w:hAnsi="Aptos"/>
                                  <w:b/>
                                  <w:bCs/>
                                  <w:sz w:val="24"/>
                                  <w:szCs w:val="24"/>
                                  <w14:ligatures w14:val="none"/>
                                </w:rPr>
                              </w:pPr>
                              <w:r w:rsidRPr="008C7956">
                                <w:rPr>
                                  <w:rFonts w:ascii="Aptos" w:eastAsia="Aptos" w:hAnsi="Aptos"/>
                                  <w:b/>
                                  <w:bCs/>
                                  <w:sz w:val="24"/>
                                  <w:szCs w:val="24"/>
                                </w:rPr>
                                <w:t>Finance Team</w:t>
                              </w:r>
                            </w:p>
                            <w:p w14:paraId="42AC7E77" w14:textId="77777777" w:rsidR="008C7956" w:rsidRPr="008C7956" w:rsidRDefault="008C7956" w:rsidP="008C7956">
                              <w:pPr>
                                <w:pStyle w:val="ListParagraph"/>
                                <w:numPr>
                                  <w:ilvl w:val="0"/>
                                  <w:numId w:val="7"/>
                                </w:numPr>
                                <w:spacing w:after="0" w:line="256" w:lineRule="auto"/>
                                <w:rPr>
                                  <w:rFonts w:ascii="Aptos" w:eastAsia="Aptos" w:hAnsi="Aptos"/>
                                  <w:sz w:val="24"/>
                                  <w:szCs w:val="24"/>
                                </w:rPr>
                              </w:pPr>
                              <w:r w:rsidRPr="008C7956">
                                <w:rPr>
                                  <w:rFonts w:ascii="Aptos" w:eastAsia="Aptos" w:hAnsi="Aptos"/>
                                  <w:sz w:val="24"/>
                                  <w:szCs w:val="24"/>
                                </w:rPr>
                                <w:t>Execute transactions within delegated authorities</w:t>
                              </w:r>
                            </w:p>
                            <w:p w14:paraId="6E7C6B8D" w14:textId="77777777" w:rsidR="008C7956" w:rsidRPr="008C7956" w:rsidRDefault="008C7956" w:rsidP="008C7956">
                              <w:pPr>
                                <w:pStyle w:val="ListParagraph"/>
                                <w:numPr>
                                  <w:ilvl w:val="0"/>
                                  <w:numId w:val="7"/>
                                </w:numPr>
                                <w:spacing w:after="0" w:line="256" w:lineRule="auto"/>
                                <w:rPr>
                                  <w:rFonts w:ascii="Aptos" w:eastAsia="Aptos" w:hAnsi="Aptos"/>
                                  <w:sz w:val="24"/>
                                  <w:szCs w:val="24"/>
                                </w:rPr>
                              </w:pPr>
                              <w:r w:rsidRPr="008C7956">
                                <w:rPr>
                                  <w:rFonts w:ascii="Aptos" w:eastAsia="Aptos" w:hAnsi="Aptos"/>
                                  <w:sz w:val="24"/>
                                  <w:szCs w:val="24"/>
                                </w:rPr>
                                <w:t>Ensure segregation of duties</w:t>
                              </w:r>
                            </w:p>
                            <w:p w14:paraId="3636F5A3" w14:textId="77777777" w:rsidR="008C7956" w:rsidRPr="008C7956" w:rsidRDefault="008C7956" w:rsidP="008C7956">
                              <w:pPr>
                                <w:pStyle w:val="ListParagraph"/>
                                <w:numPr>
                                  <w:ilvl w:val="0"/>
                                  <w:numId w:val="7"/>
                                </w:numPr>
                                <w:spacing w:after="0" w:line="256" w:lineRule="auto"/>
                                <w:rPr>
                                  <w:rFonts w:ascii="Aptos" w:eastAsia="Aptos" w:hAnsi="Aptos"/>
                                  <w:sz w:val="24"/>
                                  <w:szCs w:val="24"/>
                                </w:rPr>
                              </w:pPr>
                              <w:r w:rsidRPr="008C7956">
                                <w:rPr>
                                  <w:rFonts w:ascii="Aptos" w:eastAsia="Aptos" w:hAnsi="Aptos"/>
                                  <w:sz w:val="24"/>
                                  <w:szCs w:val="24"/>
                                </w:rPr>
                                <w:t>Ensure procedural controls such as regular management reporting, regular risk assessment and organisational, systems, procedural and reconciliation controls.</w:t>
                              </w:r>
                            </w:p>
                          </w:txbxContent>
                        </wps:txbx>
                        <wps:bodyPr rot="0" vert="horz" wrap="square" lIns="91440" tIns="45720" rIns="91440" bIns="45720" anchor="t" anchorCtr="0">
                          <a:spAutoFit/>
                        </wps:bodyPr>
                      </wps:wsp>
                      <wps:wsp>
                        <wps:cNvPr id="698333840" name="Straight Arrow Connector 698333840"/>
                        <wps:cNvCnPr>
                          <a:stCxn id="795990849" idx="2"/>
                          <a:endCxn id="2042539422" idx="0"/>
                        </wps:cNvCnPr>
                        <wps:spPr>
                          <a:xfrm flipH="1">
                            <a:off x="2113988" y="1139189"/>
                            <a:ext cx="879" cy="383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9032269" name="Straight Arrow Connector 359032269"/>
                        <wps:cNvCnPr>
                          <a:stCxn id="2042539422" idx="2"/>
                          <a:endCxn id="1244855011" idx="0"/>
                        </wps:cNvCnPr>
                        <wps:spPr>
                          <a:xfrm flipH="1">
                            <a:off x="2113919" y="2064118"/>
                            <a:ext cx="69" cy="334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2030348" name="Straight Arrow Connector 302030348"/>
                        <wps:cNvCnPr>
                          <a:stCxn id="1244855011" idx="2"/>
                          <a:endCxn id="900383904" idx="0"/>
                        </wps:cNvCnPr>
                        <wps:spPr>
                          <a:xfrm>
                            <a:off x="2113891" y="3452895"/>
                            <a:ext cx="1608" cy="4591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9005420" name="Straight Arrow Connector 1459005420"/>
                        <wps:cNvCnPr>
                          <a:stCxn id="900383904" idx="2"/>
                          <a:endCxn id="266261537" idx="0"/>
                        </wps:cNvCnPr>
                        <wps:spPr>
                          <a:xfrm>
                            <a:off x="2115499" y="4975666"/>
                            <a:ext cx="6" cy="3407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7994E5EC" id="Canvas 5" o:spid="_x0000_s1026" editas="canvas" style="position:absolute;margin-left:0;margin-top:156pt;width:325.5pt;height:561.95pt;z-index:-251657216;mso-position-horizontal:center;mso-position-horizontal-relative:margin;mso-position-vertical-relative:page;mso-width-relative:margin;mso-height-relative:margin" coordsize="41338,7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338;height:71367;visibility:visible;mso-wrap-style:square" filled="t">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2095;top:762;width:38106;height:1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">
                  <v:textbox style="mso-fit-shape-to-text:t">
                    <w:txbxContent>
                      <w:p w14:paraId="0DCDFD60" w14:textId="77777777" w:rsidR="008C7956" w:rsidRPr="008C7956" w:rsidRDefault="008C7956" w:rsidP="008C7956">
                        <w:pPr>
                          <w:spacing w:line="256" w:lineRule="auto"/>
                          <w:jc w:val="center"/>
                          <w:rPr>
                            <w:rFonts w:ascii="Aptos" w:eastAsia="Aptos" w:hAnsi="Aptos"/>
                            <w:b/>
                            <w:bCs/>
                            <w:sz w:val="24"/>
                            <w:szCs w:val="24"/>
                            <w14:ligatures w14:val="none"/>
                          </w:rPr>
                        </w:pPr>
                        <w:r w:rsidRPr="008C7956">
                          <w:rPr>
                            <w:rFonts w:ascii="Aptos" w:eastAsia="Aptos" w:hAnsi="Aptos"/>
                            <w:b/>
                            <w:bCs/>
                            <w:sz w:val="24"/>
                            <w:szCs w:val="24"/>
                          </w:rPr>
                          <w:t>Otago Polytechnic Council</w:t>
                        </w:r>
                      </w:p>
                      <w:p w14:paraId="327E15FB" w14:textId="77777777" w:rsidR="008C7956" w:rsidRPr="008C7956" w:rsidRDefault="008C7956" w:rsidP="008C7956">
                        <w:pPr>
                          <w:pStyle w:val="ListParagraph"/>
                          <w:numPr>
                            <w:ilvl w:val="0"/>
                            <w:numId w:val="4"/>
                          </w:numPr>
                          <w:spacing w:after="0" w:line="256" w:lineRule="auto"/>
                          <w:rPr>
                            <w:rFonts w:ascii="Aptos" w:eastAsia="Aptos" w:hAnsi="Aptos"/>
                            <w:sz w:val="24"/>
                            <w:szCs w:val="24"/>
                          </w:rPr>
                        </w:pPr>
                        <w:r w:rsidRPr="008C7956">
                          <w:rPr>
                            <w:rFonts w:ascii="Aptos" w:eastAsia="Aptos" w:hAnsi="Aptos"/>
                            <w:sz w:val="24"/>
                            <w:szCs w:val="24"/>
                          </w:rPr>
                          <w:t>Approves the Treasury Management Policy</w:t>
                        </w:r>
                      </w:p>
                      <w:p w14:paraId="2A1E0A50" w14:textId="77777777" w:rsidR="008C7956" w:rsidRPr="008C7956" w:rsidRDefault="008C7956" w:rsidP="008C7956">
                        <w:pPr>
                          <w:pStyle w:val="ListParagraph"/>
                          <w:numPr>
                            <w:ilvl w:val="0"/>
                            <w:numId w:val="4"/>
                          </w:numPr>
                          <w:spacing w:after="0" w:line="256" w:lineRule="auto"/>
                          <w:rPr>
                            <w:rFonts w:ascii="Aptos" w:eastAsia="Aptos" w:hAnsi="Aptos"/>
                            <w:sz w:val="24"/>
                            <w:szCs w:val="24"/>
                          </w:rPr>
                        </w:pPr>
                        <w:r w:rsidRPr="008C7956">
                          <w:rPr>
                            <w:rFonts w:ascii="Aptos" w:eastAsia="Aptos" w:hAnsi="Aptos"/>
                            <w:sz w:val="24"/>
                            <w:szCs w:val="24"/>
                          </w:rPr>
                          <w:t>Approves borrowing levels</w:t>
                        </w:r>
                      </w:p>
                      <w:p w14:paraId="5D7E6784" w14:textId="77777777" w:rsidR="008C7956" w:rsidRPr="008C7956" w:rsidRDefault="008C7956" w:rsidP="008C7956">
                        <w:pPr>
                          <w:pStyle w:val="ListParagraph"/>
                          <w:numPr>
                            <w:ilvl w:val="0"/>
                            <w:numId w:val="4"/>
                          </w:numPr>
                          <w:spacing w:after="0" w:line="256" w:lineRule="auto"/>
                          <w:rPr>
                            <w:rFonts w:ascii="Aptos" w:eastAsia="Aptos" w:hAnsi="Aptos"/>
                            <w:sz w:val="24"/>
                            <w:szCs w:val="24"/>
                          </w:rPr>
                        </w:pPr>
                        <w:r w:rsidRPr="008C7956">
                          <w:rPr>
                            <w:rFonts w:ascii="Aptos" w:eastAsia="Aptos" w:hAnsi="Aptos"/>
                            <w:sz w:val="24"/>
                            <w:szCs w:val="24"/>
                          </w:rPr>
                          <w:t>Approves major facilities</w:t>
                        </w:r>
                      </w:p>
                      <w:p w14:paraId="55562598" w14:textId="77777777" w:rsidR="008C7956" w:rsidRPr="008C7956" w:rsidRDefault="008C7956" w:rsidP="008C7956">
                        <w:pPr>
                          <w:pStyle w:val="ListParagraph"/>
                          <w:numPr>
                            <w:ilvl w:val="0"/>
                            <w:numId w:val="4"/>
                          </w:numPr>
                          <w:spacing w:after="0" w:line="256" w:lineRule="auto"/>
                          <w:rPr>
                            <w:rFonts w:ascii="Aptos" w:eastAsia="Aptos" w:hAnsi="Aptos"/>
                            <w:sz w:val="24"/>
                            <w:szCs w:val="24"/>
                          </w:rPr>
                        </w:pPr>
                        <w:r w:rsidRPr="008C7956">
                          <w:rPr>
                            <w:rFonts w:ascii="Aptos" w:eastAsia="Aptos" w:hAnsi="Aptos"/>
                            <w:sz w:val="24"/>
                            <w:szCs w:val="24"/>
                          </w:rPr>
                          <w:t>Receives Treasury reporting</w:t>
                        </w:r>
                      </w:p>
                    </w:txbxContent>
                  </v:textbox>
                </v:shape>
                <v:shape id="Text Box 2" o:spid="_x0000_s1029" type="#_x0000_t202" style="position:absolute;left:2077;top:15224;width:38119;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">
                  <v:textbox style="mso-fit-shape-to-text:t">
                    <w:txbxContent>
                      <w:p w14:paraId="75566111" w14:textId="77777777" w:rsidR="008C7956" w:rsidRPr="008C7956" w:rsidRDefault="008C7956" w:rsidP="008C7956">
                        <w:pPr>
                          <w:spacing w:line="256" w:lineRule="auto"/>
                          <w:jc w:val="center"/>
                          <w:rPr>
                            <w:rFonts w:ascii="Aptos" w:eastAsia="Aptos" w:hAnsi="Aptos"/>
                            <w:b/>
                            <w:bCs/>
                            <w:sz w:val="24"/>
                            <w:szCs w:val="24"/>
                            <w14:ligatures w14:val="none"/>
                          </w:rPr>
                        </w:pPr>
                        <w:r w:rsidRPr="008C7956">
                          <w:rPr>
                            <w:rFonts w:ascii="Aptos" w:eastAsia="Aptos" w:hAnsi="Aptos"/>
                            <w:b/>
                            <w:bCs/>
                            <w:sz w:val="24"/>
                            <w:szCs w:val="24"/>
                          </w:rPr>
                          <w:t>Finance, Risk and Audit Committee</w:t>
                        </w:r>
                      </w:p>
                      <w:p w14:paraId="0DD6C6AF" w14:textId="77777777" w:rsidR="008C7956" w:rsidRPr="008C7956" w:rsidRDefault="008C7956" w:rsidP="008C7956">
                        <w:pPr>
                          <w:pStyle w:val="ListParagraph"/>
                          <w:numPr>
                            <w:ilvl w:val="0"/>
                            <w:numId w:val="4"/>
                          </w:numPr>
                          <w:spacing w:after="0" w:line="256" w:lineRule="auto"/>
                          <w:rPr>
                            <w:rFonts w:ascii="Aptos" w:eastAsia="Aptos" w:hAnsi="Aptos"/>
                            <w:sz w:val="24"/>
                            <w:szCs w:val="24"/>
                          </w:rPr>
                        </w:pPr>
                        <w:r w:rsidRPr="008C7956">
                          <w:rPr>
                            <w:rFonts w:ascii="Aptos" w:eastAsia="Aptos" w:hAnsi="Aptos"/>
                            <w:sz w:val="24"/>
                            <w:szCs w:val="24"/>
                          </w:rPr>
                          <w:t>Reviews, recommends and monitors the Treasury Management Policy</w:t>
                        </w:r>
                      </w:p>
                    </w:txbxContent>
                  </v:textbox>
                </v:shape>
                <v:shape id="Text Box 2" o:spid="_x0000_s1030" type="#_x0000_t202" style="position:absolute;left:2076;top:23981;width:38125;height:1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">
                  <v:textbox style="mso-fit-shape-to-text:t">
                    <w:txbxContent>
                      <w:p w14:paraId="68A042D7" w14:textId="77777777" w:rsidR="008C7956" w:rsidRPr="008C7956" w:rsidRDefault="008C7956" w:rsidP="008C7956">
                        <w:pPr>
                          <w:spacing w:line="256" w:lineRule="auto"/>
                          <w:jc w:val="center"/>
                          <w:rPr>
                            <w:rFonts w:ascii="Aptos" w:eastAsia="Aptos" w:hAnsi="Aptos"/>
                            <w:b/>
                            <w:bCs/>
                            <w:sz w:val="24"/>
                            <w:szCs w:val="24"/>
                            <w14:ligatures w14:val="none"/>
                          </w:rPr>
                        </w:pPr>
                        <w:r w:rsidRPr="008C7956">
                          <w:rPr>
                            <w:rFonts w:ascii="Aptos" w:eastAsia="Aptos" w:hAnsi="Aptos"/>
                            <w:b/>
                            <w:bCs/>
                            <w:sz w:val="24"/>
                            <w:szCs w:val="24"/>
                          </w:rPr>
                          <w:t>Chief Executive</w:t>
                        </w:r>
                      </w:p>
                      <w:p w14:paraId="67311515" w14:textId="77777777" w:rsidR="008C7956" w:rsidRPr="008C7956" w:rsidRDefault="008C7956" w:rsidP="008C7956">
                        <w:pPr>
                          <w:pStyle w:val="ListParagraph"/>
                          <w:numPr>
                            <w:ilvl w:val="0"/>
                            <w:numId w:val="5"/>
                          </w:numPr>
                          <w:spacing w:after="0" w:line="256" w:lineRule="auto"/>
                          <w:rPr>
                            <w:rFonts w:ascii="Aptos" w:eastAsia="Aptos" w:hAnsi="Aptos"/>
                            <w:sz w:val="24"/>
                            <w:szCs w:val="24"/>
                          </w:rPr>
                        </w:pPr>
                        <w:r w:rsidRPr="008C7956">
                          <w:rPr>
                            <w:rFonts w:ascii="Aptos" w:eastAsia="Aptos" w:hAnsi="Aptos"/>
                            <w:sz w:val="24"/>
                            <w:szCs w:val="24"/>
                          </w:rPr>
                          <w:t>Implements the Treasury Management Policy</w:t>
                        </w:r>
                      </w:p>
                      <w:p w14:paraId="6102C4CE" w14:textId="77777777" w:rsidR="008C7956" w:rsidRPr="008C7956" w:rsidRDefault="008C7956" w:rsidP="008C7956">
                        <w:pPr>
                          <w:pStyle w:val="ListParagraph"/>
                          <w:numPr>
                            <w:ilvl w:val="0"/>
                            <w:numId w:val="5"/>
                          </w:numPr>
                          <w:spacing w:after="0" w:line="256" w:lineRule="auto"/>
                          <w:rPr>
                            <w:rFonts w:ascii="Aptos" w:eastAsia="Aptos" w:hAnsi="Aptos"/>
                            <w:sz w:val="24"/>
                            <w:szCs w:val="24"/>
                          </w:rPr>
                        </w:pPr>
                        <w:r w:rsidRPr="008C7956">
                          <w:rPr>
                            <w:rFonts w:ascii="Aptos" w:eastAsia="Aptos" w:hAnsi="Aptos"/>
                            <w:sz w:val="24"/>
                            <w:szCs w:val="24"/>
                          </w:rPr>
                          <w:t>Delegates day-to-day oversight of Treasury Management to the CFO</w:t>
                        </w:r>
                      </w:p>
                      <w:p w14:paraId="42450E8B" w14:textId="77777777" w:rsidR="008C7956" w:rsidRPr="008C7956" w:rsidRDefault="008C7956" w:rsidP="008C7956">
                        <w:pPr>
                          <w:pStyle w:val="ListParagraph"/>
                          <w:numPr>
                            <w:ilvl w:val="0"/>
                            <w:numId w:val="5"/>
                          </w:numPr>
                          <w:spacing w:after="0" w:line="256" w:lineRule="auto"/>
                          <w:rPr>
                            <w:rFonts w:ascii="Aptos" w:eastAsia="Aptos" w:hAnsi="Aptos"/>
                            <w:sz w:val="24"/>
                            <w:szCs w:val="24"/>
                          </w:rPr>
                        </w:pPr>
                        <w:r w:rsidRPr="008C7956">
                          <w:rPr>
                            <w:rFonts w:ascii="Aptos" w:eastAsia="Aptos" w:hAnsi="Aptos"/>
                            <w:sz w:val="24"/>
                            <w:szCs w:val="24"/>
                          </w:rPr>
                          <w:t xml:space="preserve">Approves transactions within delegated authority </w:t>
                        </w:r>
                      </w:p>
                    </w:txbxContent>
                  </v:textbox>
                </v:shape>
                <v:shape id="Text Box 2" o:spid="_x0000_s1031" type="#_x0000_t202" style="position:absolute;left:2095;top:39120;width:38119;height:1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">
                  <v:textbox style="mso-fit-shape-to-text:t">
                    <w:txbxContent>
                      <w:p w14:paraId="6B141049" w14:textId="77777777" w:rsidR="008C7956" w:rsidRPr="008C7956" w:rsidRDefault="008C7956" w:rsidP="008C7956">
                        <w:pPr>
                          <w:spacing w:line="256" w:lineRule="auto"/>
                          <w:jc w:val="center"/>
                          <w:rPr>
                            <w:rFonts w:ascii="Aptos" w:eastAsia="Aptos" w:hAnsi="Aptos"/>
                            <w:b/>
                            <w:bCs/>
                            <w:sz w:val="24"/>
                            <w:szCs w:val="24"/>
                            <w14:ligatures w14:val="none"/>
                          </w:rPr>
                        </w:pPr>
                        <w:r w:rsidRPr="008C7956">
                          <w:rPr>
                            <w:rFonts w:ascii="Aptos" w:eastAsia="Aptos" w:hAnsi="Aptos"/>
                            <w:b/>
                            <w:bCs/>
                            <w:sz w:val="24"/>
                            <w:szCs w:val="24"/>
                          </w:rPr>
                          <w:t>Chief Financial Officer (CFO)</w:t>
                        </w:r>
                      </w:p>
                      <w:p w14:paraId="7BC19EB3" w14:textId="77777777" w:rsidR="008C7956" w:rsidRPr="008C7956" w:rsidRDefault="008C7956" w:rsidP="008C7956">
                        <w:pPr>
                          <w:pStyle w:val="ListParagraph"/>
                          <w:numPr>
                            <w:ilvl w:val="0"/>
                            <w:numId w:val="6"/>
                          </w:numPr>
                          <w:spacing w:after="0" w:line="256" w:lineRule="auto"/>
                          <w:rPr>
                            <w:rFonts w:ascii="Aptos" w:eastAsia="Aptos" w:hAnsi="Aptos"/>
                            <w:sz w:val="24"/>
                            <w:szCs w:val="24"/>
                          </w:rPr>
                        </w:pPr>
                        <w:r w:rsidRPr="008C7956">
                          <w:rPr>
                            <w:rFonts w:ascii="Aptos" w:eastAsia="Aptos" w:hAnsi="Aptos"/>
                            <w:sz w:val="24"/>
                            <w:szCs w:val="24"/>
                          </w:rPr>
                          <w:t>Manages banking relationships</w:t>
                        </w:r>
                      </w:p>
                      <w:p w14:paraId="4DF245AB" w14:textId="77777777" w:rsidR="008C7956" w:rsidRPr="008C7956" w:rsidRDefault="008C7956" w:rsidP="008C7956">
                        <w:pPr>
                          <w:pStyle w:val="ListParagraph"/>
                          <w:numPr>
                            <w:ilvl w:val="0"/>
                            <w:numId w:val="6"/>
                          </w:numPr>
                          <w:spacing w:after="0" w:line="256" w:lineRule="auto"/>
                          <w:rPr>
                            <w:rFonts w:ascii="Aptos" w:eastAsia="Aptos" w:hAnsi="Aptos"/>
                            <w:sz w:val="24"/>
                            <w:szCs w:val="24"/>
                          </w:rPr>
                        </w:pPr>
                        <w:r w:rsidRPr="008C7956">
                          <w:rPr>
                            <w:rFonts w:ascii="Aptos" w:eastAsia="Aptos" w:hAnsi="Aptos"/>
                            <w:sz w:val="24"/>
                            <w:szCs w:val="24"/>
                          </w:rPr>
                          <w:t>Ensures compliance</w:t>
                        </w:r>
                      </w:p>
                      <w:p w14:paraId="626788B6" w14:textId="77777777" w:rsidR="008C7956" w:rsidRPr="008C7956" w:rsidRDefault="008C7956" w:rsidP="008C7956">
                        <w:pPr>
                          <w:pStyle w:val="ListParagraph"/>
                          <w:numPr>
                            <w:ilvl w:val="0"/>
                            <w:numId w:val="6"/>
                          </w:numPr>
                          <w:spacing w:after="0" w:line="256" w:lineRule="auto"/>
                          <w:rPr>
                            <w:rFonts w:ascii="Aptos" w:eastAsia="Aptos" w:hAnsi="Aptos"/>
                            <w:sz w:val="24"/>
                            <w:szCs w:val="24"/>
                          </w:rPr>
                        </w:pPr>
                        <w:r w:rsidRPr="008C7956">
                          <w:rPr>
                            <w:rFonts w:ascii="Aptos" w:eastAsia="Aptos" w:hAnsi="Aptos"/>
                            <w:sz w:val="24"/>
                            <w:szCs w:val="24"/>
                          </w:rPr>
                          <w:t>Oversees treasury activities</w:t>
                        </w:r>
                      </w:p>
                      <w:p w14:paraId="38F494EB" w14:textId="77777777" w:rsidR="008C7956" w:rsidRPr="008C7956" w:rsidRDefault="008C7956" w:rsidP="008C7956">
                        <w:pPr>
                          <w:pStyle w:val="ListParagraph"/>
                          <w:numPr>
                            <w:ilvl w:val="0"/>
                            <w:numId w:val="6"/>
                          </w:numPr>
                          <w:spacing w:after="0" w:line="256" w:lineRule="auto"/>
                          <w:rPr>
                            <w:rFonts w:ascii="Aptos" w:eastAsia="Aptos" w:hAnsi="Aptos"/>
                            <w:sz w:val="24"/>
                            <w:szCs w:val="24"/>
                          </w:rPr>
                        </w:pPr>
                        <w:r w:rsidRPr="008C7956">
                          <w:rPr>
                            <w:rFonts w:ascii="Aptos" w:eastAsia="Aptos" w:hAnsi="Aptos"/>
                            <w:sz w:val="24"/>
                            <w:szCs w:val="24"/>
                          </w:rPr>
                          <w:t xml:space="preserve">Approves transactions within delegated authority </w:t>
                        </w:r>
                      </w:p>
                    </w:txbxContent>
                  </v:textbox>
                </v:shape>
                <v:shape id="Text Box 2" o:spid="_x0000_s1032" type="#_x0000_t202" style="position:absolute;left:2095;top:53164;width:38119;height:18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">
                  <v:textbox style="mso-fit-shape-to-text:t">
                    <w:txbxContent>
                      <w:p w14:paraId="5493BC52" w14:textId="77777777" w:rsidR="008C7956" w:rsidRPr="008C7956" w:rsidRDefault="008C7956" w:rsidP="008C7956">
                        <w:pPr>
                          <w:spacing w:line="256" w:lineRule="auto"/>
                          <w:jc w:val="center"/>
                          <w:rPr>
                            <w:rFonts w:ascii="Aptos" w:eastAsia="Aptos" w:hAnsi="Aptos"/>
                            <w:b/>
                            <w:bCs/>
                            <w:sz w:val="24"/>
                            <w:szCs w:val="24"/>
                            <w14:ligatures w14:val="none"/>
                          </w:rPr>
                        </w:pPr>
                        <w:r w:rsidRPr="008C7956">
                          <w:rPr>
                            <w:rFonts w:ascii="Aptos" w:eastAsia="Aptos" w:hAnsi="Aptos"/>
                            <w:b/>
                            <w:bCs/>
                            <w:sz w:val="24"/>
                            <w:szCs w:val="24"/>
                          </w:rPr>
                          <w:t>Finance Team</w:t>
                        </w:r>
                      </w:p>
                      <w:p w14:paraId="42AC7E77" w14:textId="77777777" w:rsidR="008C7956" w:rsidRPr="008C7956" w:rsidRDefault="008C7956" w:rsidP="008C7956">
                        <w:pPr>
                          <w:pStyle w:val="ListParagraph"/>
                          <w:numPr>
                            <w:ilvl w:val="0"/>
                            <w:numId w:val="7"/>
                          </w:numPr>
                          <w:spacing w:after="0" w:line="256" w:lineRule="auto"/>
                          <w:rPr>
                            <w:rFonts w:ascii="Aptos" w:eastAsia="Aptos" w:hAnsi="Aptos"/>
                            <w:sz w:val="24"/>
                            <w:szCs w:val="24"/>
                          </w:rPr>
                        </w:pPr>
                        <w:r w:rsidRPr="008C7956">
                          <w:rPr>
                            <w:rFonts w:ascii="Aptos" w:eastAsia="Aptos" w:hAnsi="Aptos"/>
                            <w:sz w:val="24"/>
                            <w:szCs w:val="24"/>
                          </w:rPr>
                          <w:t>Execute transactions within delegated authorities</w:t>
                        </w:r>
                      </w:p>
                      <w:p w14:paraId="6E7C6B8D" w14:textId="77777777" w:rsidR="008C7956" w:rsidRPr="008C7956" w:rsidRDefault="008C7956" w:rsidP="008C7956">
                        <w:pPr>
                          <w:pStyle w:val="ListParagraph"/>
                          <w:numPr>
                            <w:ilvl w:val="0"/>
                            <w:numId w:val="7"/>
                          </w:numPr>
                          <w:spacing w:after="0" w:line="256" w:lineRule="auto"/>
                          <w:rPr>
                            <w:rFonts w:ascii="Aptos" w:eastAsia="Aptos" w:hAnsi="Aptos"/>
                            <w:sz w:val="24"/>
                            <w:szCs w:val="24"/>
                          </w:rPr>
                        </w:pPr>
                        <w:r w:rsidRPr="008C7956">
                          <w:rPr>
                            <w:rFonts w:ascii="Aptos" w:eastAsia="Aptos" w:hAnsi="Aptos"/>
                            <w:sz w:val="24"/>
                            <w:szCs w:val="24"/>
                          </w:rPr>
                          <w:t>Ensure segregation of duties</w:t>
                        </w:r>
                      </w:p>
                      <w:p w14:paraId="3636F5A3" w14:textId="77777777" w:rsidR="008C7956" w:rsidRPr="008C7956" w:rsidRDefault="008C7956" w:rsidP="008C7956">
                        <w:pPr>
                          <w:pStyle w:val="ListParagraph"/>
                          <w:numPr>
                            <w:ilvl w:val="0"/>
                            <w:numId w:val="7"/>
                          </w:numPr>
                          <w:spacing w:after="0" w:line="256" w:lineRule="auto"/>
                          <w:rPr>
                            <w:rFonts w:ascii="Aptos" w:eastAsia="Aptos" w:hAnsi="Aptos"/>
                            <w:sz w:val="24"/>
                            <w:szCs w:val="24"/>
                          </w:rPr>
                        </w:pPr>
                        <w:r w:rsidRPr="008C7956">
                          <w:rPr>
                            <w:rFonts w:ascii="Aptos" w:eastAsia="Aptos" w:hAnsi="Aptos"/>
                            <w:sz w:val="24"/>
                            <w:szCs w:val="24"/>
                          </w:rPr>
                          <w:t>Ensure procedural controls such as regular management reporting, regular risk assessment and organisational, systems, procedural and reconciliation controls.</w:t>
                        </w:r>
                      </w:p>
                    </w:txbxContent>
                  </v:textbox>
                </v:shape>
                <v:shapetype id="_x0000_t32" coordsize="21600,21600" o:spt="32" o:oned="t" path="m,l21600,21600e" filled="f">
                  <v:path arrowok="t" fillok="f" o:connecttype="none"/>
                  <o:lock v:ext="edit" shapetype="t"/>
                </v:shapetype>
                <v:shape id="Straight Arrow Connector 698333840" o:spid="_x0000_s1033" type="#_x0000_t32" style="position:absolute;left:21139;top:11391;width:9;height:38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" strokecolor="#156082 [3204]" strokeweight=".5pt">
                  <v:stroke endarrow="block" joinstyle="miter"/>
                </v:shape>
                <v:shape id="Straight Arrow Connector 359032269" o:spid="_x0000_s1034" type="#_x0000_t32" style="position:absolute;left:21139;top:20641;width:0;height:33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" strokecolor="#156082 [3204]" strokeweight=".5pt">
                  <v:stroke endarrow="block" joinstyle="miter"/>
                </v:shape>
                <v:shape id="Straight Arrow Connector 302030348" o:spid="_x0000_s1035" type="#_x0000_t32" style="position:absolute;left:21138;top:34528;width:16;height:45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" strokecolor="#156082 [3204]" strokeweight=".5pt">
                  <v:stroke endarrow="block" joinstyle="miter"/>
                </v:shape>
                <v:shape id="Straight Arrow Connector 1459005420" o:spid="_x0000_s1036" type="#_x0000_t32" style="position:absolute;left:21154;top:49756;width:1;height:3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" strokecolor="#156082 [3204]" strokeweight=".5pt">
                  <v:stroke endarrow="block" joinstyle="miter"/>
                </v:shape>
                <w10:wrap type="through" anchorx="margin" anchory="page"/>
              </v:group>
            </w:pict>
          </mc:Fallback>
        </mc:AlternateContent>
      </w:r>
      <w:r w:rsidRPr="00EA720E">
        <w:rPr>
          <w:b/>
          <w:bCs/>
          <w:sz w:val="28"/>
          <w:szCs w:val="28"/>
        </w:rPr>
        <w:t>Treasury Management Roles</w:t>
      </w:r>
    </w:p>
    <w:p w14:paraId="49606D92" w14:textId="77777777" w:rsidR="008C7956" w:rsidRPr="00EA720E" w:rsidRDefault="008C7956" w:rsidP="008C7956"/>
    <w:p w14:paraId="13584E69" w14:textId="77777777" w:rsidR="008C7956" w:rsidRPr="00EA720E" w:rsidRDefault="008C7956" w:rsidP="008C7956"/>
    <w:p w14:paraId="3DC4D9DA" w14:textId="77777777" w:rsidR="008C7956" w:rsidRPr="00EA720E" w:rsidRDefault="008C7956" w:rsidP="008C7956"/>
    <w:p w14:paraId="43E65384" w14:textId="77777777" w:rsidR="008C7956" w:rsidRPr="00EA720E" w:rsidRDefault="008C7956" w:rsidP="008C7956"/>
    <w:p w14:paraId="761EC831" w14:textId="77777777" w:rsidR="008C7956" w:rsidRPr="00EA720E" w:rsidRDefault="008C7956" w:rsidP="008C7956"/>
    <w:p w14:paraId="15F2E675" w14:textId="77777777" w:rsidR="008C7956" w:rsidRPr="00EA720E" w:rsidRDefault="008C7956" w:rsidP="008C7956"/>
    <w:p w14:paraId="227FC44A" w14:textId="77777777" w:rsidR="008C7956" w:rsidRPr="00EA720E" w:rsidRDefault="008C7956" w:rsidP="008C7956"/>
    <w:p w14:paraId="1A99FDB0" w14:textId="77777777" w:rsidR="008C7956" w:rsidRPr="00EA720E" w:rsidRDefault="008C7956" w:rsidP="008C7956"/>
    <w:p w14:paraId="20A60243" w14:textId="77777777" w:rsidR="008C7956" w:rsidRPr="00EA720E" w:rsidRDefault="008C7956" w:rsidP="008C7956"/>
    <w:p w14:paraId="1BB17618" w14:textId="77777777" w:rsidR="008C7956" w:rsidRPr="00EA720E" w:rsidRDefault="008C7956" w:rsidP="008C7956"/>
    <w:p w14:paraId="020C4194" w14:textId="77777777" w:rsidR="008C7956" w:rsidRPr="00EA720E" w:rsidRDefault="008C7956" w:rsidP="008C7956"/>
    <w:p w14:paraId="2B3C697D" w14:textId="77777777" w:rsidR="008C7956" w:rsidRPr="00EA720E" w:rsidRDefault="008C7956" w:rsidP="008C7956"/>
    <w:p w14:paraId="47A7A605" w14:textId="77777777" w:rsidR="008C7956" w:rsidRPr="00EA720E" w:rsidRDefault="008C7956" w:rsidP="008C7956"/>
    <w:p w14:paraId="0598F4D9" w14:textId="77777777" w:rsidR="008C7956" w:rsidRPr="00EA720E" w:rsidRDefault="008C7956" w:rsidP="008C7956"/>
    <w:p w14:paraId="57F5D2F1" w14:textId="77777777" w:rsidR="008C7956" w:rsidRPr="00EA720E" w:rsidRDefault="008C7956" w:rsidP="008C7956"/>
    <w:p w14:paraId="0CAA448A" w14:textId="77777777" w:rsidR="008C7956" w:rsidRPr="00EA720E" w:rsidRDefault="008C7956" w:rsidP="008C7956"/>
    <w:p w14:paraId="7B142591" w14:textId="77777777" w:rsidR="008C7956" w:rsidRPr="00EA720E" w:rsidRDefault="008C7956" w:rsidP="008C7956"/>
    <w:p w14:paraId="4EF217CC" w14:textId="77777777" w:rsidR="008C7956" w:rsidRPr="00EA720E" w:rsidRDefault="008C7956" w:rsidP="008C7956"/>
    <w:p w14:paraId="3887CB25" w14:textId="77777777" w:rsidR="008C7956" w:rsidRPr="00EA720E" w:rsidRDefault="008C7956" w:rsidP="008C7956"/>
    <w:p w14:paraId="4C8922B5" w14:textId="77777777" w:rsidR="008C7956" w:rsidRPr="00EA720E" w:rsidRDefault="008C7956" w:rsidP="008C7956"/>
    <w:p w14:paraId="4405528B" w14:textId="77777777" w:rsidR="008C7956" w:rsidRPr="00EA720E" w:rsidRDefault="008C7956" w:rsidP="008C7956"/>
    <w:p w14:paraId="1B3C81B4" w14:textId="77777777" w:rsidR="008C7956" w:rsidRPr="00EA720E" w:rsidRDefault="008C7956" w:rsidP="008C7956"/>
    <w:p w14:paraId="7B489CBF" w14:textId="77777777" w:rsidR="008C7956" w:rsidRPr="00EA720E" w:rsidRDefault="008C7956" w:rsidP="008C7956"/>
    <w:p w14:paraId="2BB23ABB" w14:textId="77777777" w:rsidR="008C7956" w:rsidRPr="00EA720E" w:rsidRDefault="008C7956" w:rsidP="008C7956"/>
    <w:p w14:paraId="6F83EEC6" w14:textId="77777777" w:rsidR="008C7956" w:rsidRPr="00EA720E" w:rsidRDefault="008C7956" w:rsidP="008C7956"/>
    <w:p w14:paraId="336C0FC7" w14:textId="77777777" w:rsidR="008C7956" w:rsidRPr="00EA720E" w:rsidRDefault="008C7956" w:rsidP="008C7956">
      <w:pPr>
        <w:sectPr w:rsidR="008C7956" w:rsidRPr="00EA720E" w:rsidSect="008C7956">
          <w:pgSz w:w="11906" w:h="16838"/>
          <w:pgMar w:top="1440" w:right="1440" w:bottom="1440" w:left="1440" w:header="708" w:footer="708" w:gutter="0"/>
          <w:cols w:space="708"/>
          <w:docGrid w:linePitch="360"/>
        </w:sectPr>
      </w:pPr>
    </w:p>
    <w:p w14:paraId="53A603DB" w14:textId="77777777" w:rsidR="008C7956" w:rsidRPr="00EA720E" w:rsidRDefault="008C7956" w:rsidP="008C7956">
      <w:pPr>
        <w:rPr>
          <w:b/>
          <w:bCs/>
          <w:sz w:val="28"/>
          <w:szCs w:val="28"/>
        </w:rPr>
      </w:pPr>
      <w:r w:rsidRPr="00EA720E">
        <w:rPr>
          <w:b/>
          <w:bCs/>
          <w:sz w:val="28"/>
          <w:szCs w:val="28"/>
        </w:rPr>
        <w:lastRenderedPageBreak/>
        <w:t>Treasury Management Responsibilities</w:t>
      </w:r>
    </w:p>
    <w:tbl>
      <w:tblPr>
        <w:tblStyle w:val="TableGrid"/>
        <w:tblW w:w="0" w:type="auto"/>
        <w:tblLook w:val="04A0" w:firstRow="1" w:lastRow="0" w:firstColumn="1" w:lastColumn="0" w:noHBand="0" w:noVBand="1"/>
      </w:tblPr>
      <w:tblGrid>
        <w:gridCol w:w="1337"/>
        <w:gridCol w:w="7679"/>
      </w:tblGrid>
      <w:tr w:rsidR="008C7956" w:rsidRPr="00EA720E" w14:paraId="51425D75" w14:textId="77777777" w:rsidTr="009D7107">
        <w:tc>
          <w:tcPr>
            <w:tcW w:w="1129" w:type="dxa"/>
          </w:tcPr>
          <w:p w14:paraId="22EEDC1A" w14:textId="77777777" w:rsidR="008C7956" w:rsidRPr="008C7956" w:rsidRDefault="008C7956" w:rsidP="009D7107">
            <w:pPr>
              <w:rPr>
                <w:rFonts w:ascii="Arial" w:hAnsi="Arial" w:cs="Arial"/>
                <w:b/>
                <w:bCs/>
                <w:sz w:val="24"/>
                <w:szCs w:val="24"/>
              </w:rPr>
            </w:pPr>
          </w:p>
        </w:tc>
        <w:tc>
          <w:tcPr>
            <w:tcW w:w="7887" w:type="dxa"/>
          </w:tcPr>
          <w:p w14:paraId="407E885E" w14:textId="77777777" w:rsidR="008C7956" w:rsidRPr="008C7956" w:rsidRDefault="008C7956" w:rsidP="009D7107">
            <w:pPr>
              <w:rPr>
                <w:rFonts w:ascii="Arial" w:hAnsi="Arial" w:cs="Arial"/>
                <w:b/>
                <w:bCs/>
                <w:sz w:val="24"/>
                <w:szCs w:val="24"/>
              </w:rPr>
            </w:pPr>
            <w:r w:rsidRPr="008C7956">
              <w:rPr>
                <w:rFonts w:ascii="Arial" w:hAnsi="Arial" w:cs="Arial"/>
                <w:b/>
                <w:bCs/>
                <w:sz w:val="24"/>
                <w:szCs w:val="24"/>
              </w:rPr>
              <w:t>Responsibilities</w:t>
            </w:r>
          </w:p>
        </w:tc>
      </w:tr>
      <w:tr w:rsidR="008C7956" w:rsidRPr="00EA720E" w14:paraId="33FFD41C" w14:textId="77777777" w:rsidTr="009D7107">
        <w:tc>
          <w:tcPr>
            <w:tcW w:w="1129" w:type="dxa"/>
          </w:tcPr>
          <w:p w14:paraId="7A082D23" w14:textId="77777777" w:rsidR="008C7956" w:rsidRPr="008C7956" w:rsidRDefault="008C7956" w:rsidP="009D7107">
            <w:pPr>
              <w:rPr>
                <w:rFonts w:ascii="Arial" w:hAnsi="Arial" w:cs="Arial"/>
                <w:b/>
                <w:bCs/>
                <w:sz w:val="24"/>
                <w:szCs w:val="24"/>
              </w:rPr>
            </w:pPr>
            <w:r w:rsidRPr="008C7956">
              <w:rPr>
                <w:rFonts w:ascii="Arial" w:hAnsi="Arial" w:cs="Arial"/>
                <w:b/>
                <w:bCs/>
                <w:sz w:val="24"/>
                <w:szCs w:val="24"/>
              </w:rPr>
              <w:t>Council</w:t>
            </w:r>
          </w:p>
        </w:tc>
        <w:tc>
          <w:tcPr>
            <w:tcW w:w="7887" w:type="dxa"/>
          </w:tcPr>
          <w:p w14:paraId="26B89D8A" w14:textId="77777777" w:rsidR="008C7956" w:rsidRPr="008C7956" w:rsidRDefault="008C7956" w:rsidP="009D7107">
            <w:pPr>
              <w:rPr>
                <w:rFonts w:ascii="Arial" w:hAnsi="Arial" w:cs="Arial"/>
                <w:sz w:val="24"/>
                <w:szCs w:val="24"/>
              </w:rPr>
            </w:pPr>
            <w:r w:rsidRPr="008C7956">
              <w:rPr>
                <w:rFonts w:ascii="Arial" w:hAnsi="Arial" w:cs="Arial"/>
                <w:sz w:val="24"/>
                <w:szCs w:val="24"/>
              </w:rPr>
              <w:t>The Otago Polytechnic Council has ultimate responsibility for ensuring that there is an effective framework for the recognition, management and reporting of treasury risks, including:</w:t>
            </w:r>
          </w:p>
          <w:p w14:paraId="13807A7F" w14:textId="77777777" w:rsidR="008C7956" w:rsidRPr="008C7956" w:rsidRDefault="008C7956" w:rsidP="008C7956">
            <w:pPr>
              <w:pStyle w:val="ListParagraph"/>
              <w:numPr>
                <w:ilvl w:val="0"/>
                <w:numId w:val="1"/>
              </w:numPr>
              <w:rPr>
                <w:rFonts w:ascii="Arial" w:hAnsi="Arial" w:cs="Arial"/>
                <w:sz w:val="24"/>
                <w:szCs w:val="24"/>
              </w:rPr>
            </w:pPr>
            <w:r w:rsidRPr="008C7956">
              <w:rPr>
                <w:rFonts w:ascii="Arial" w:hAnsi="Arial" w:cs="Arial"/>
                <w:sz w:val="24"/>
                <w:szCs w:val="24"/>
              </w:rPr>
              <w:t>Deciding the level and nature of treasury risks that are acceptable, given the underlying objectives of Otago Polytechnic and the duty of the Otago Polytechnic Council under section 281(1)e of the Education and Training Act 2020 to ensure that the institution operates in a financially responsible manner that ensures the efficient use of resources and maintains the institution’s long-term viability.</w:t>
            </w:r>
          </w:p>
          <w:p w14:paraId="42E818ED" w14:textId="77777777" w:rsidR="008C7956" w:rsidRPr="008C7956" w:rsidRDefault="008C7956" w:rsidP="008C7956">
            <w:pPr>
              <w:pStyle w:val="ListParagraph"/>
              <w:numPr>
                <w:ilvl w:val="0"/>
                <w:numId w:val="1"/>
              </w:numPr>
              <w:rPr>
                <w:rFonts w:ascii="Arial" w:hAnsi="Arial" w:cs="Arial"/>
                <w:sz w:val="24"/>
                <w:szCs w:val="24"/>
              </w:rPr>
            </w:pPr>
            <w:r w:rsidRPr="008C7956">
              <w:rPr>
                <w:rFonts w:ascii="Arial" w:hAnsi="Arial" w:cs="Arial"/>
                <w:sz w:val="24"/>
                <w:szCs w:val="24"/>
              </w:rPr>
              <w:t>Approving the Treasury Management Policy, including any substantive amendments, and conducting regular reviews of the Treasury Management Policy.</w:t>
            </w:r>
          </w:p>
          <w:p w14:paraId="5D111E2D" w14:textId="77777777" w:rsidR="008C7956" w:rsidRPr="008C7956" w:rsidRDefault="008C7956" w:rsidP="008C7956">
            <w:pPr>
              <w:pStyle w:val="ListParagraph"/>
              <w:numPr>
                <w:ilvl w:val="0"/>
                <w:numId w:val="1"/>
              </w:numPr>
              <w:rPr>
                <w:rFonts w:ascii="Arial" w:hAnsi="Arial" w:cs="Arial"/>
                <w:sz w:val="24"/>
                <w:szCs w:val="24"/>
              </w:rPr>
            </w:pPr>
            <w:r w:rsidRPr="008C7956">
              <w:rPr>
                <w:rFonts w:ascii="Arial" w:hAnsi="Arial" w:cs="Arial"/>
                <w:sz w:val="24"/>
                <w:szCs w:val="24"/>
              </w:rPr>
              <w:t>Review and monitor the implementation of the Policy through receiving regular treasury reports.</w:t>
            </w:r>
          </w:p>
          <w:p w14:paraId="74BF9BA1" w14:textId="77777777" w:rsidR="008C7956" w:rsidRPr="008C7956" w:rsidRDefault="008C7956" w:rsidP="008C7956">
            <w:pPr>
              <w:pStyle w:val="ListParagraph"/>
              <w:numPr>
                <w:ilvl w:val="0"/>
                <w:numId w:val="1"/>
              </w:numPr>
              <w:rPr>
                <w:rFonts w:ascii="Arial" w:hAnsi="Arial" w:cs="Arial"/>
                <w:sz w:val="24"/>
                <w:szCs w:val="24"/>
              </w:rPr>
            </w:pPr>
            <w:r w:rsidRPr="008C7956">
              <w:rPr>
                <w:rFonts w:ascii="Arial" w:hAnsi="Arial" w:cs="Arial"/>
                <w:sz w:val="24"/>
                <w:szCs w:val="24"/>
              </w:rPr>
              <w:t>Receive and review issues raised by auditors (both internal and external) in respect of the treasury function.</w:t>
            </w:r>
          </w:p>
          <w:p w14:paraId="75C27648" w14:textId="77777777" w:rsidR="008C7956" w:rsidRPr="008C7956" w:rsidRDefault="008C7956" w:rsidP="008C7956">
            <w:pPr>
              <w:pStyle w:val="ListParagraph"/>
              <w:numPr>
                <w:ilvl w:val="0"/>
                <w:numId w:val="1"/>
              </w:numPr>
              <w:rPr>
                <w:rFonts w:ascii="Arial" w:hAnsi="Arial" w:cs="Arial"/>
                <w:sz w:val="24"/>
                <w:szCs w:val="24"/>
              </w:rPr>
            </w:pPr>
            <w:r w:rsidRPr="008C7956">
              <w:rPr>
                <w:rFonts w:ascii="Arial" w:hAnsi="Arial" w:cs="Arial"/>
                <w:sz w:val="24"/>
                <w:szCs w:val="24"/>
              </w:rPr>
              <w:t>Receive submission from the CFO and Chief Executive notifying Policy non-compliance matters.</w:t>
            </w:r>
          </w:p>
          <w:p w14:paraId="40409FAB" w14:textId="77777777" w:rsidR="008C7956" w:rsidRPr="008C7956" w:rsidRDefault="008C7956" w:rsidP="008C7956">
            <w:pPr>
              <w:pStyle w:val="ListParagraph"/>
              <w:numPr>
                <w:ilvl w:val="0"/>
                <w:numId w:val="1"/>
              </w:numPr>
              <w:rPr>
                <w:rFonts w:ascii="Arial" w:hAnsi="Arial" w:cs="Arial"/>
                <w:sz w:val="24"/>
                <w:szCs w:val="24"/>
              </w:rPr>
            </w:pPr>
            <w:r w:rsidRPr="008C7956">
              <w:rPr>
                <w:rFonts w:ascii="Arial" w:hAnsi="Arial" w:cs="Arial"/>
                <w:sz w:val="24"/>
                <w:szCs w:val="24"/>
              </w:rPr>
              <w:t>Approving the annual financial and capital expenditure budget and long-term financial plan of Otago Polytechnic.</w:t>
            </w:r>
          </w:p>
          <w:p w14:paraId="0A3A322D" w14:textId="77777777" w:rsidR="008C7956" w:rsidRPr="008C7956" w:rsidRDefault="008C7956" w:rsidP="008C7956">
            <w:pPr>
              <w:pStyle w:val="ListParagraph"/>
              <w:numPr>
                <w:ilvl w:val="0"/>
                <w:numId w:val="1"/>
              </w:numPr>
              <w:rPr>
                <w:rFonts w:ascii="Arial" w:hAnsi="Arial" w:cs="Arial"/>
                <w:sz w:val="24"/>
                <w:szCs w:val="24"/>
              </w:rPr>
            </w:pPr>
            <w:r w:rsidRPr="008C7956">
              <w:rPr>
                <w:rFonts w:ascii="Arial" w:hAnsi="Arial" w:cs="Arial"/>
                <w:sz w:val="24"/>
                <w:szCs w:val="24"/>
              </w:rPr>
              <w:t>Maintaining and approving the risk register, which includes treasury risks.</w:t>
            </w:r>
          </w:p>
          <w:p w14:paraId="75A38DA9" w14:textId="77777777" w:rsidR="008C7956" w:rsidRPr="008C7956" w:rsidRDefault="008C7956" w:rsidP="008C7956">
            <w:pPr>
              <w:pStyle w:val="ListParagraph"/>
              <w:numPr>
                <w:ilvl w:val="0"/>
                <w:numId w:val="1"/>
              </w:numPr>
              <w:rPr>
                <w:rFonts w:ascii="Arial" w:hAnsi="Arial" w:cs="Arial"/>
                <w:sz w:val="24"/>
                <w:szCs w:val="24"/>
              </w:rPr>
            </w:pPr>
            <w:r w:rsidRPr="008C7956">
              <w:rPr>
                <w:rFonts w:ascii="Arial" w:hAnsi="Arial" w:cs="Arial"/>
                <w:sz w:val="24"/>
                <w:szCs w:val="24"/>
              </w:rPr>
              <w:t>Approving one-off transactions and Policy non-compliance matters.</w:t>
            </w:r>
          </w:p>
          <w:p w14:paraId="1E7E77C5" w14:textId="77777777" w:rsidR="008C7956" w:rsidRPr="008C7956" w:rsidRDefault="008C7956" w:rsidP="008C7956">
            <w:pPr>
              <w:pStyle w:val="ListParagraph"/>
              <w:numPr>
                <w:ilvl w:val="0"/>
                <w:numId w:val="1"/>
              </w:numPr>
              <w:rPr>
                <w:rFonts w:ascii="Arial" w:hAnsi="Arial" w:cs="Arial"/>
                <w:sz w:val="24"/>
                <w:szCs w:val="24"/>
              </w:rPr>
            </w:pPr>
            <w:r w:rsidRPr="008C7956">
              <w:rPr>
                <w:rFonts w:ascii="Arial" w:hAnsi="Arial" w:cs="Arial"/>
                <w:sz w:val="24"/>
                <w:szCs w:val="24"/>
              </w:rPr>
              <w:t>Approving external debt limits.</w:t>
            </w:r>
          </w:p>
          <w:p w14:paraId="74C57F47" w14:textId="77777777" w:rsidR="008C7956" w:rsidRPr="008C7956" w:rsidRDefault="008C7956" w:rsidP="008C7956">
            <w:pPr>
              <w:pStyle w:val="ListParagraph"/>
              <w:numPr>
                <w:ilvl w:val="0"/>
                <w:numId w:val="1"/>
              </w:numPr>
              <w:rPr>
                <w:rFonts w:ascii="Arial" w:hAnsi="Arial" w:cs="Arial"/>
                <w:sz w:val="24"/>
                <w:szCs w:val="24"/>
              </w:rPr>
            </w:pPr>
            <w:r w:rsidRPr="008C7956">
              <w:rPr>
                <w:rFonts w:ascii="Arial" w:hAnsi="Arial" w:cs="Arial"/>
                <w:sz w:val="24"/>
                <w:szCs w:val="24"/>
              </w:rPr>
              <w:t>Approving new and refinancing of bank facilities and dealing facilities.</w:t>
            </w:r>
          </w:p>
          <w:p w14:paraId="57B0C845" w14:textId="77777777" w:rsidR="008C7956" w:rsidRPr="008C7956" w:rsidRDefault="008C7956" w:rsidP="008C7956">
            <w:pPr>
              <w:pStyle w:val="ListParagraph"/>
              <w:numPr>
                <w:ilvl w:val="0"/>
                <w:numId w:val="1"/>
              </w:numPr>
              <w:rPr>
                <w:rFonts w:ascii="Arial" w:hAnsi="Arial" w:cs="Arial"/>
                <w:sz w:val="24"/>
                <w:szCs w:val="24"/>
              </w:rPr>
            </w:pPr>
            <w:r w:rsidRPr="008C7956">
              <w:rPr>
                <w:rFonts w:ascii="Arial" w:hAnsi="Arial" w:cs="Arial"/>
                <w:sz w:val="24"/>
                <w:szCs w:val="24"/>
              </w:rPr>
              <w:t>Approving the list of authorised signatories.</w:t>
            </w:r>
          </w:p>
        </w:tc>
      </w:tr>
      <w:tr w:rsidR="008C7956" w:rsidRPr="00EA720E" w14:paraId="0FC5AB3C" w14:textId="77777777" w:rsidTr="009D7107">
        <w:tc>
          <w:tcPr>
            <w:tcW w:w="1129" w:type="dxa"/>
          </w:tcPr>
          <w:p w14:paraId="7879163A" w14:textId="77777777" w:rsidR="008C7956" w:rsidRPr="008C7956" w:rsidRDefault="008C7956" w:rsidP="009D7107">
            <w:pPr>
              <w:rPr>
                <w:rFonts w:ascii="Arial" w:hAnsi="Arial" w:cs="Arial"/>
                <w:b/>
                <w:bCs/>
                <w:sz w:val="24"/>
                <w:szCs w:val="24"/>
              </w:rPr>
            </w:pPr>
            <w:r w:rsidRPr="008C7956">
              <w:rPr>
                <w:rFonts w:ascii="Arial" w:hAnsi="Arial" w:cs="Arial"/>
                <w:b/>
                <w:bCs/>
                <w:sz w:val="24"/>
                <w:szCs w:val="24"/>
              </w:rPr>
              <w:t>Chief Executive</w:t>
            </w:r>
          </w:p>
        </w:tc>
        <w:tc>
          <w:tcPr>
            <w:tcW w:w="7887" w:type="dxa"/>
          </w:tcPr>
          <w:p w14:paraId="5856AA07" w14:textId="77777777" w:rsidR="008C7956" w:rsidRPr="008C7956" w:rsidRDefault="008C7956" w:rsidP="009D7107">
            <w:pPr>
              <w:rPr>
                <w:rFonts w:ascii="Arial" w:hAnsi="Arial" w:cs="Arial"/>
                <w:sz w:val="24"/>
                <w:szCs w:val="24"/>
              </w:rPr>
            </w:pPr>
            <w:r w:rsidRPr="008C7956">
              <w:rPr>
                <w:rFonts w:ascii="Arial" w:hAnsi="Arial" w:cs="Arial"/>
                <w:sz w:val="24"/>
                <w:szCs w:val="24"/>
              </w:rPr>
              <w:t xml:space="preserve">The Chief Executive has overall responsibility for Treasury Management through delegation from the Council. </w:t>
            </w:r>
          </w:p>
        </w:tc>
      </w:tr>
      <w:tr w:rsidR="008C7956" w:rsidRPr="00EA720E" w14:paraId="2C5DCAF9" w14:textId="77777777" w:rsidTr="009D7107">
        <w:tc>
          <w:tcPr>
            <w:tcW w:w="1129" w:type="dxa"/>
          </w:tcPr>
          <w:p w14:paraId="2D46C45C" w14:textId="77777777" w:rsidR="008C7956" w:rsidRPr="008C7956" w:rsidRDefault="008C7956" w:rsidP="009D7107">
            <w:pPr>
              <w:rPr>
                <w:rFonts w:ascii="Arial" w:hAnsi="Arial" w:cs="Arial"/>
                <w:b/>
                <w:bCs/>
                <w:sz w:val="24"/>
                <w:szCs w:val="24"/>
              </w:rPr>
            </w:pPr>
            <w:r w:rsidRPr="008C7956">
              <w:rPr>
                <w:rFonts w:ascii="Arial" w:hAnsi="Arial" w:cs="Arial"/>
                <w:b/>
                <w:bCs/>
                <w:sz w:val="24"/>
                <w:szCs w:val="24"/>
              </w:rPr>
              <w:t>Chief Financial Officer (CFO)</w:t>
            </w:r>
          </w:p>
        </w:tc>
        <w:tc>
          <w:tcPr>
            <w:tcW w:w="7887" w:type="dxa"/>
          </w:tcPr>
          <w:p w14:paraId="0EE7D3AB" w14:textId="77777777" w:rsidR="008C7956" w:rsidRPr="008C7956" w:rsidRDefault="008C7956" w:rsidP="009D7107">
            <w:pPr>
              <w:rPr>
                <w:rFonts w:ascii="Arial" w:hAnsi="Arial" w:cs="Arial"/>
                <w:sz w:val="24"/>
                <w:szCs w:val="24"/>
              </w:rPr>
            </w:pPr>
            <w:r w:rsidRPr="008C7956">
              <w:rPr>
                <w:rFonts w:ascii="Arial" w:hAnsi="Arial" w:cs="Arial"/>
                <w:sz w:val="24"/>
                <w:szCs w:val="24"/>
              </w:rPr>
              <w:t>The CFO is responsible for the management of treasury activities through delegation from the Chief Executive, including:</w:t>
            </w:r>
          </w:p>
          <w:p w14:paraId="6EAFFD38" w14:textId="77777777" w:rsidR="008C7956" w:rsidRPr="008C7956" w:rsidRDefault="008C7956" w:rsidP="008C7956">
            <w:pPr>
              <w:pStyle w:val="ListParagraph"/>
              <w:numPr>
                <w:ilvl w:val="0"/>
                <w:numId w:val="2"/>
              </w:numPr>
              <w:rPr>
                <w:rFonts w:ascii="Arial" w:hAnsi="Arial" w:cs="Arial"/>
                <w:sz w:val="24"/>
                <w:szCs w:val="24"/>
              </w:rPr>
            </w:pPr>
            <w:r w:rsidRPr="008C7956">
              <w:rPr>
                <w:rFonts w:ascii="Arial" w:hAnsi="Arial" w:cs="Arial"/>
                <w:sz w:val="24"/>
                <w:szCs w:val="24"/>
              </w:rPr>
              <w:t>In conjunction with the Chief Executive, developing the annual financial budget and long-term financial strategic/plans.</w:t>
            </w:r>
          </w:p>
          <w:p w14:paraId="70922CBA" w14:textId="77777777" w:rsidR="008C7956" w:rsidRPr="008C7956" w:rsidRDefault="008C7956" w:rsidP="008C7956">
            <w:pPr>
              <w:pStyle w:val="ListParagraph"/>
              <w:numPr>
                <w:ilvl w:val="0"/>
                <w:numId w:val="2"/>
              </w:numPr>
              <w:rPr>
                <w:rFonts w:ascii="Arial" w:hAnsi="Arial" w:cs="Arial"/>
                <w:sz w:val="24"/>
                <w:szCs w:val="24"/>
              </w:rPr>
            </w:pPr>
            <w:r w:rsidRPr="008C7956">
              <w:rPr>
                <w:rFonts w:ascii="Arial" w:hAnsi="Arial" w:cs="Arial"/>
                <w:sz w:val="24"/>
                <w:szCs w:val="24"/>
              </w:rPr>
              <w:t>Reporting to the Council on treasury matters.</w:t>
            </w:r>
          </w:p>
          <w:p w14:paraId="32CABE41" w14:textId="77777777" w:rsidR="008C7956" w:rsidRPr="008C7956" w:rsidRDefault="008C7956" w:rsidP="008C7956">
            <w:pPr>
              <w:pStyle w:val="ListParagraph"/>
              <w:numPr>
                <w:ilvl w:val="0"/>
                <w:numId w:val="2"/>
              </w:numPr>
              <w:rPr>
                <w:rFonts w:ascii="Arial" w:hAnsi="Arial" w:cs="Arial"/>
                <w:sz w:val="24"/>
                <w:szCs w:val="24"/>
              </w:rPr>
            </w:pPr>
            <w:r w:rsidRPr="008C7956">
              <w:rPr>
                <w:rFonts w:ascii="Arial" w:hAnsi="Arial" w:cs="Arial"/>
                <w:sz w:val="24"/>
                <w:szCs w:val="24"/>
              </w:rPr>
              <w:t>Advising the Chief Executive and Council of significant treasury events.</w:t>
            </w:r>
          </w:p>
          <w:p w14:paraId="26F17FA2" w14:textId="77777777" w:rsidR="008C7956" w:rsidRPr="008C7956" w:rsidRDefault="008C7956" w:rsidP="008C7956">
            <w:pPr>
              <w:pStyle w:val="ListParagraph"/>
              <w:numPr>
                <w:ilvl w:val="0"/>
                <w:numId w:val="2"/>
              </w:numPr>
              <w:rPr>
                <w:rFonts w:ascii="Arial" w:hAnsi="Arial" w:cs="Arial"/>
                <w:sz w:val="24"/>
                <w:szCs w:val="24"/>
              </w:rPr>
            </w:pPr>
            <w:r w:rsidRPr="008C7956">
              <w:rPr>
                <w:rFonts w:ascii="Arial" w:hAnsi="Arial" w:cs="Arial"/>
                <w:sz w:val="24"/>
                <w:szCs w:val="24"/>
              </w:rPr>
              <w:t xml:space="preserve">Recommending to the Chief Executive authorised signatories and delegated authorities in respect of all </w:t>
            </w:r>
            <w:proofErr w:type="gramStart"/>
            <w:r w:rsidRPr="008C7956">
              <w:rPr>
                <w:rFonts w:ascii="Arial" w:hAnsi="Arial" w:cs="Arial"/>
                <w:sz w:val="24"/>
                <w:szCs w:val="24"/>
              </w:rPr>
              <w:t>treasury</w:t>
            </w:r>
            <w:proofErr w:type="gramEnd"/>
            <w:r w:rsidRPr="008C7956">
              <w:rPr>
                <w:rFonts w:ascii="Arial" w:hAnsi="Arial" w:cs="Arial"/>
                <w:sz w:val="24"/>
                <w:szCs w:val="24"/>
              </w:rPr>
              <w:t xml:space="preserve"> dealing and banking activities.</w:t>
            </w:r>
          </w:p>
          <w:p w14:paraId="19BA3049" w14:textId="77777777" w:rsidR="008C7956" w:rsidRPr="008C7956" w:rsidRDefault="008C7956" w:rsidP="008C7956">
            <w:pPr>
              <w:pStyle w:val="ListParagraph"/>
              <w:numPr>
                <w:ilvl w:val="0"/>
                <w:numId w:val="2"/>
              </w:numPr>
              <w:rPr>
                <w:rFonts w:ascii="Arial" w:hAnsi="Arial" w:cs="Arial"/>
                <w:sz w:val="24"/>
                <w:szCs w:val="24"/>
              </w:rPr>
            </w:pPr>
            <w:r w:rsidRPr="008C7956">
              <w:rPr>
                <w:rFonts w:ascii="Arial" w:hAnsi="Arial" w:cs="Arial"/>
                <w:sz w:val="24"/>
                <w:szCs w:val="24"/>
              </w:rPr>
              <w:t>Having primary responsibility for managing banking relationships.</w:t>
            </w:r>
          </w:p>
          <w:p w14:paraId="16DB3079" w14:textId="77777777" w:rsidR="008C7956" w:rsidRPr="008C7956" w:rsidRDefault="008C7956" w:rsidP="008C7956">
            <w:pPr>
              <w:pStyle w:val="ListParagraph"/>
              <w:numPr>
                <w:ilvl w:val="0"/>
                <w:numId w:val="2"/>
              </w:numPr>
              <w:rPr>
                <w:rFonts w:ascii="Arial" w:hAnsi="Arial" w:cs="Arial"/>
                <w:sz w:val="24"/>
                <w:szCs w:val="24"/>
              </w:rPr>
            </w:pPr>
            <w:r w:rsidRPr="008C7956">
              <w:rPr>
                <w:rFonts w:ascii="Arial" w:hAnsi="Arial" w:cs="Arial"/>
                <w:sz w:val="24"/>
                <w:szCs w:val="24"/>
              </w:rPr>
              <w:t>Negotiating bank funding and financial market dealing facilities in accordance with this Policy.</w:t>
            </w:r>
          </w:p>
          <w:p w14:paraId="71DF3E29" w14:textId="77777777" w:rsidR="008C7956" w:rsidRPr="008C7956" w:rsidRDefault="008C7956" w:rsidP="008C7956">
            <w:pPr>
              <w:pStyle w:val="ListParagraph"/>
              <w:numPr>
                <w:ilvl w:val="0"/>
                <w:numId w:val="2"/>
              </w:numPr>
              <w:rPr>
                <w:rFonts w:ascii="Arial" w:hAnsi="Arial" w:cs="Arial"/>
                <w:sz w:val="24"/>
                <w:szCs w:val="24"/>
              </w:rPr>
            </w:pPr>
            <w:r w:rsidRPr="008C7956">
              <w:rPr>
                <w:rFonts w:ascii="Arial" w:hAnsi="Arial" w:cs="Arial"/>
                <w:sz w:val="24"/>
                <w:szCs w:val="24"/>
              </w:rPr>
              <w:t>Recommending changes to this Policy to the Council following consultation with the Chief Executive.</w:t>
            </w:r>
          </w:p>
          <w:p w14:paraId="1C60B18B" w14:textId="77777777" w:rsidR="008C7956" w:rsidRPr="008C7956" w:rsidRDefault="008C7956" w:rsidP="008C7956">
            <w:pPr>
              <w:pStyle w:val="ListParagraph"/>
              <w:numPr>
                <w:ilvl w:val="0"/>
                <w:numId w:val="2"/>
              </w:numPr>
              <w:rPr>
                <w:rFonts w:ascii="Arial" w:hAnsi="Arial" w:cs="Arial"/>
                <w:sz w:val="24"/>
                <w:szCs w:val="24"/>
              </w:rPr>
            </w:pPr>
            <w:r w:rsidRPr="008C7956">
              <w:rPr>
                <w:rFonts w:ascii="Arial" w:hAnsi="Arial" w:cs="Arial"/>
                <w:sz w:val="24"/>
                <w:szCs w:val="24"/>
              </w:rPr>
              <w:lastRenderedPageBreak/>
              <w:t>Monitoring and reviewing the performance of the treasury function in terms of achieving its objectives.</w:t>
            </w:r>
          </w:p>
          <w:p w14:paraId="4487E4B5" w14:textId="77777777" w:rsidR="008C7956" w:rsidRPr="008C7956" w:rsidRDefault="008C7956" w:rsidP="008C7956">
            <w:pPr>
              <w:pStyle w:val="ListParagraph"/>
              <w:numPr>
                <w:ilvl w:val="0"/>
                <w:numId w:val="2"/>
              </w:numPr>
              <w:rPr>
                <w:rFonts w:ascii="Arial" w:hAnsi="Arial" w:cs="Arial"/>
                <w:sz w:val="24"/>
                <w:szCs w:val="24"/>
              </w:rPr>
            </w:pPr>
            <w:r w:rsidRPr="008C7956">
              <w:rPr>
                <w:rFonts w:ascii="Arial" w:hAnsi="Arial" w:cs="Arial"/>
                <w:sz w:val="24"/>
                <w:szCs w:val="24"/>
              </w:rPr>
              <w:t>Ensuring compliance with TEC, legislative and covenant requirements.</w:t>
            </w:r>
          </w:p>
        </w:tc>
      </w:tr>
      <w:tr w:rsidR="008C7956" w:rsidRPr="00EA720E" w14:paraId="548C0F8C" w14:textId="77777777" w:rsidTr="009D7107">
        <w:tc>
          <w:tcPr>
            <w:tcW w:w="1129" w:type="dxa"/>
          </w:tcPr>
          <w:p w14:paraId="2540766B" w14:textId="77777777" w:rsidR="008C7956" w:rsidRPr="008C7956" w:rsidRDefault="008C7956" w:rsidP="009D7107">
            <w:pPr>
              <w:rPr>
                <w:rFonts w:ascii="Arial" w:hAnsi="Arial" w:cs="Arial"/>
                <w:b/>
                <w:bCs/>
                <w:sz w:val="24"/>
                <w:szCs w:val="24"/>
              </w:rPr>
            </w:pPr>
            <w:r w:rsidRPr="008C7956">
              <w:rPr>
                <w:rFonts w:ascii="Arial" w:hAnsi="Arial" w:cs="Arial"/>
                <w:b/>
                <w:bCs/>
                <w:sz w:val="24"/>
                <w:szCs w:val="24"/>
              </w:rPr>
              <w:lastRenderedPageBreak/>
              <w:t>Finance Team</w:t>
            </w:r>
          </w:p>
        </w:tc>
        <w:tc>
          <w:tcPr>
            <w:tcW w:w="7887" w:type="dxa"/>
          </w:tcPr>
          <w:p w14:paraId="350BB70C" w14:textId="77777777" w:rsidR="008C7956" w:rsidRPr="008C7956" w:rsidRDefault="008C7956" w:rsidP="009D7107">
            <w:pPr>
              <w:rPr>
                <w:rFonts w:ascii="Arial" w:hAnsi="Arial" w:cs="Arial"/>
                <w:sz w:val="24"/>
                <w:szCs w:val="24"/>
              </w:rPr>
            </w:pPr>
            <w:r w:rsidRPr="008C7956">
              <w:rPr>
                <w:rFonts w:ascii="Arial" w:hAnsi="Arial" w:cs="Arial"/>
                <w:sz w:val="24"/>
                <w:szCs w:val="24"/>
              </w:rPr>
              <w:t>The Finance Team manages Otago Polytechnic treasury activities, including:</w:t>
            </w:r>
          </w:p>
          <w:p w14:paraId="1D7A0879"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Executing treasury transactions within delegated limits.</w:t>
            </w:r>
          </w:p>
          <w:p w14:paraId="6DA3DDE0"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Liquidity and debt management.</w:t>
            </w:r>
          </w:p>
          <w:p w14:paraId="4283C500"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Monitoring and reporting of treasury activity.</w:t>
            </w:r>
          </w:p>
          <w:p w14:paraId="542956C2"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Day-to-day cash management, working capital management, treasury investment, and risk management.</w:t>
            </w:r>
          </w:p>
          <w:p w14:paraId="50F22E70"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Ensuring compliance with internal limits and procedures.</w:t>
            </w:r>
          </w:p>
          <w:p w14:paraId="75EC4FFB"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Ensuring segregation of duties from deal execution.</w:t>
            </w:r>
          </w:p>
          <w:p w14:paraId="05C55376"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Execute cash management, working capital management, treasury investment (non-ring fenced and ring fenced), debt, interest rate and foreign currency transactions in accordance with delegated authorities.</w:t>
            </w:r>
          </w:p>
          <w:p w14:paraId="7E1F9255"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Update treasury spreadsheet(s) for all new, re-negotiated and maturing transactions.</w:t>
            </w:r>
          </w:p>
          <w:p w14:paraId="1C3DB720"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Recording, processing and settlement of all transactions.</w:t>
            </w:r>
          </w:p>
          <w:p w14:paraId="06A6FE00"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Receive external bank deal confirmations. Check all deal confirmations against internal deal tickets and report any irregularities immediately to the CFO.</w:t>
            </w:r>
          </w:p>
          <w:p w14:paraId="4F6B0264"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Handle all administrative aspects of bank counterparty agreements and documentation such as loan agreements and ISDA documents.</w:t>
            </w:r>
          </w:p>
          <w:p w14:paraId="57479F9A"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Complete and review all bank reconciliations.</w:t>
            </w:r>
          </w:p>
          <w:p w14:paraId="71C2B8A6"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Reconcile monthly summaries of outstanding financial contracts from banking counterparties to internal records.</w:t>
            </w:r>
          </w:p>
          <w:p w14:paraId="5632B31C"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Provide daily (as required), weekly, monthly, quarterly treasury reporting to CFO.</w:t>
            </w:r>
          </w:p>
          <w:p w14:paraId="720E2E48"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Complete the daily cash position report.</w:t>
            </w:r>
          </w:p>
          <w:p w14:paraId="25127CB0"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Complete the short-term and medium-term cash flow forecasts.</w:t>
            </w:r>
          </w:p>
          <w:p w14:paraId="51464194"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Manage the operation of all bank accounts.</w:t>
            </w:r>
          </w:p>
          <w:p w14:paraId="0F4EBC36"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Complete monthly treasury spreadsheet reconciliation to general ledger.</w:t>
            </w:r>
          </w:p>
          <w:p w14:paraId="5A97173E"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Complete monthly interest accrual and treasury journals.</w:t>
            </w:r>
          </w:p>
          <w:p w14:paraId="71638521"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Review monthly NZD and foreign currency bank reconciliations. Settlement of all treasury transactions with approved bank counterparties.</w:t>
            </w:r>
          </w:p>
          <w:p w14:paraId="11F73A81" w14:textId="77777777" w:rsidR="008C7956" w:rsidRPr="008C7956" w:rsidRDefault="008C7956" w:rsidP="008C7956">
            <w:pPr>
              <w:pStyle w:val="ListParagraph"/>
              <w:numPr>
                <w:ilvl w:val="0"/>
                <w:numId w:val="3"/>
              </w:numPr>
              <w:rPr>
                <w:rFonts w:ascii="Arial" w:hAnsi="Arial" w:cs="Arial"/>
                <w:sz w:val="24"/>
                <w:szCs w:val="24"/>
              </w:rPr>
            </w:pPr>
            <w:r w:rsidRPr="008C7956">
              <w:rPr>
                <w:rFonts w:ascii="Arial" w:hAnsi="Arial" w:cs="Arial"/>
                <w:sz w:val="24"/>
                <w:szCs w:val="24"/>
              </w:rPr>
              <w:t>Monitor credit ratings of approved counterparties.</w:t>
            </w:r>
          </w:p>
        </w:tc>
      </w:tr>
    </w:tbl>
    <w:p w14:paraId="1C3D5FE7" w14:textId="77777777" w:rsidR="008C7956" w:rsidRPr="00EA720E" w:rsidRDefault="008C7956" w:rsidP="008C7956"/>
    <w:p w14:paraId="3670E070" w14:textId="77777777" w:rsidR="00CC0D78" w:rsidRPr="004E062E" w:rsidRDefault="00CC0D78">
      <w:pPr>
        <w:rPr>
          <w:rFonts w:ascii="Arial" w:hAnsi="Arial" w:cs="Arial"/>
        </w:rPr>
      </w:pPr>
    </w:p>
    <w:sectPr w:rsidR="00CC0D78" w:rsidRPr="004E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22E"/>
    <w:multiLevelType w:val="hybridMultilevel"/>
    <w:tmpl w:val="B0AA0A8E"/>
    <w:lvl w:ilvl="0" w:tplc="5148B674">
      <w:start w:val="1"/>
      <w:numFmt w:val="bullet"/>
      <w:lvlText w:val=""/>
      <w:lvlJc w:val="left"/>
      <w:pPr>
        <w:tabs>
          <w:tab w:val="num" w:pos="720"/>
        </w:tabs>
        <w:ind w:left="720" w:hanging="360"/>
      </w:pPr>
      <w:rPr>
        <w:rFonts w:ascii="Symbol" w:hAnsi="Symbol" w:hint="default"/>
      </w:rPr>
    </w:lvl>
    <w:lvl w:ilvl="1" w:tplc="F74A7542" w:tentative="1">
      <w:start w:val="1"/>
      <w:numFmt w:val="bullet"/>
      <w:lvlText w:val=""/>
      <w:lvlJc w:val="left"/>
      <w:pPr>
        <w:tabs>
          <w:tab w:val="num" w:pos="1440"/>
        </w:tabs>
        <w:ind w:left="1440" w:hanging="360"/>
      </w:pPr>
      <w:rPr>
        <w:rFonts w:ascii="Symbol" w:hAnsi="Symbol" w:hint="default"/>
      </w:rPr>
    </w:lvl>
    <w:lvl w:ilvl="2" w:tplc="D5F6F452" w:tentative="1">
      <w:start w:val="1"/>
      <w:numFmt w:val="bullet"/>
      <w:lvlText w:val=""/>
      <w:lvlJc w:val="left"/>
      <w:pPr>
        <w:tabs>
          <w:tab w:val="num" w:pos="2160"/>
        </w:tabs>
        <w:ind w:left="2160" w:hanging="360"/>
      </w:pPr>
      <w:rPr>
        <w:rFonts w:ascii="Symbol" w:hAnsi="Symbol" w:hint="default"/>
      </w:rPr>
    </w:lvl>
    <w:lvl w:ilvl="3" w:tplc="B66A858A" w:tentative="1">
      <w:start w:val="1"/>
      <w:numFmt w:val="bullet"/>
      <w:lvlText w:val=""/>
      <w:lvlJc w:val="left"/>
      <w:pPr>
        <w:tabs>
          <w:tab w:val="num" w:pos="2880"/>
        </w:tabs>
        <w:ind w:left="2880" w:hanging="360"/>
      </w:pPr>
      <w:rPr>
        <w:rFonts w:ascii="Symbol" w:hAnsi="Symbol" w:hint="default"/>
      </w:rPr>
    </w:lvl>
    <w:lvl w:ilvl="4" w:tplc="989C0062" w:tentative="1">
      <w:start w:val="1"/>
      <w:numFmt w:val="bullet"/>
      <w:lvlText w:val=""/>
      <w:lvlJc w:val="left"/>
      <w:pPr>
        <w:tabs>
          <w:tab w:val="num" w:pos="3600"/>
        </w:tabs>
        <w:ind w:left="3600" w:hanging="360"/>
      </w:pPr>
      <w:rPr>
        <w:rFonts w:ascii="Symbol" w:hAnsi="Symbol" w:hint="default"/>
      </w:rPr>
    </w:lvl>
    <w:lvl w:ilvl="5" w:tplc="091A869E" w:tentative="1">
      <w:start w:val="1"/>
      <w:numFmt w:val="bullet"/>
      <w:lvlText w:val=""/>
      <w:lvlJc w:val="left"/>
      <w:pPr>
        <w:tabs>
          <w:tab w:val="num" w:pos="4320"/>
        </w:tabs>
        <w:ind w:left="4320" w:hanging="360"/>
      </w:pPr>
      <w:rPr>
        <w:rFonts w:ascii="Symbol" w:hAnsi="Symbol" w:hint="default"/>
      </w:rPr>
    </w:lvl>
    <w:lvl w:ilvl="6" w:tplc="C31A5496" w:tentative="1">
      <w:start w:val="1"/>
      <w:numFmt w:val="bullet"/>
      <w:lvlText w:val=""/>
      <w:lvlJc w:val="left"/>
      <w:pPr>
        <w:tabs>
          <w:tab w:val="num" w:pos="5040"/>
        </w:tabs>
        <w:ind w:left="5040" w:hanging="360"/>
      </w:pPr>
      <w:rPr>
        <w:rFonts w:ascii="Symbol" w:hAnsi="Symbol" w:hint="default"/>
      </w:rPr>
    </w:lvl>
    <w:lvl w:ilvl="7" w:tplc="6664A82C" w:tentative="1">
      <w:start w:val="1"/>
      <w:numFmt w:val="bullet"/>
      <w:lvlText w:val=""/>
      <w:lvlJc w:val="left"/>
      <w:pPr>
        <w:tabs>
          <w:tab w:val="num" w:pos="5760"/>
        </w:tabs>
        <w:ind w:left="5760" w:hanging="360"/>
      </w:pPr>
      <w:rPr>
        <w:rFonts w:ascii="Symbol" w:hAnsi="Symbol" w:hint="default"/>
      </w:rPr>
    </w:lvl>
    <w:lvl w:ilvl="8" w:tplc="38A80A0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2071BC"/>
    <w:multiLevelType w:val="hybridMultilevel"/>
    <w:tmpl w:val="19CC0462"/>
    <w:lvl w:ilvl="0" w:tplc="7646D12C">
      <w:start w:val="1"/>
      <w:numFmt w:val="bullet"/>
      <w:lvlText w:val=""/>
      <w:lvlJc w:val="left"/>
      <w:pPr>
        <w:tabs>
          <w:tab w:val="num" w:pos="720"/>
        </w:tabs>
        <w:ind w:left="720" w:hanging="360"/>
      </w:pPr>
      <w:rPr>
        <w:rFonts w:ascii="Symbol" w:hAnsi="Symbol" w:hint="default"/>
      </w:rPr>
    </w:lvl>
    <w:lvl w:ilvl="1" w:tplc="FBA0AF3C" w:tentative="1">
      <w:start w:val="1"/>
      <w:numFmt w:val="bullet"/>
      <w:lvlText w:val=""/>
      <w:lvlJc w:val="left"/>
      <w:pPr>
        <w:tabs>
          <w:tab w:val="num" w:pos="1440"/>
        </w:tabs>
        <w:ind w:left="1440" w:hanging="360"/>
      </w:pPr>
      <w:rPr>
        <w:rFonts w:ascii="Symbol" w:hAnsi="Symbol" w:hint="default"/>
      </w:rPr>
    </w:lvl>
    <w:lvl w:ilvl="2" w:tplc="2FAA0CC8" w:tentative="1">
      <w:start w:val="1"/>
      <w:numFmt w:val="bullet"/>
      <w:lvlText w:val=""/>
      <w:lvlJc w:val="left"/>
      <w:pPr>
        <w:tabs>
          <w:tab w:val="num" w:pos="2160"/>
        </w:tabs>
        <w:ind w:left="2160" w:hanging="360"/>
      </w:pPr>
      <w:rPr>
        <w:rFonts w:ascii="Symbol" w:hAnsi="Symbol" w:hint="default"/>
      </w:rPr>
    </w:lvl>
    <w:lvl w:ilvl="3" w:tplc="CC2C2F06" w:tentative="1">
      <w:start w:val="1"/>
      <w:numFmt w:val="bullet"/>
      <w:lvlText w:val=""/>
      <w:lvlJc w:val="left"/>
      <w:pPr>
        <w:tabs>
          <w:tab w:val="num" w:pos="2880"/>
        </w:tabs>
        <w:ind w:left="2880" w:hanging="360"/>
      </w:pPr>
      <w:rPr>
        <w:rFonts w:ascii="Symbol" w:hAnsi="Symbol" w:hint="default"/>
      </w:rPr>
    </w:lvl>
    <w:lvl w:ilvl="4" w:tplc="59B8858C" w:tentative="1">
      <w:start w:val="1"/>
      <w:numFmt w:val="bullet"/>
      <w:lvlText w:val=""/>
      <w:lvlJc w:val="left"/>
      <w:pPr>
        <w:tabs>
          <w:tab w:val="num" w:pos="3600"/>
        </w:tabs>
        <w:ind w:left="3600" w:hanging="360"/>
      </w:pPr>
      <w:rPr>
        <w:rFonts w:ascii="Symbol" w:hAnsi="Symbol" w:hint="default"/>
      </w:rPr>
    </w:lvl>
    <w:lvl w:ilvl="5" w:tplc="B5CABAE8" w:tentative="1">
      <w:start w:val="1"/>
      <w:numFmt w:val="bullet"/>
      <w:lvlText w:val=""/>
      <w:lvlJc w:val="left"/>
      <w:pPr>
        <w:tabs>
          <w:tab w:val="num" w:pos="4320"/>
        </w:tabs>
        <w:ind w:left="4320" w:hanging="360"/>
      </w:pPr>
      <w:rPr>
        <w:rFonts w:ascii="Symbol" w:hAnsi="Symbol" w:hint="default"/>
      </w:rPr>
    </w:lvl>
    <w:lvl w:ilvl="6" w:tplc="ED7EB6E6" w:tentative="1">
      <w:start w:val="1"/>
      <w:numFmt w:val="bullet"/>
      <w:lvlText w:val=""/>
      <w:lvlJc w:val="left"/>
      <w:pPr>
        <w:tabs>
          <w:tab w:val="num" w:pos="5040"/>
        </w:tabs>
        <w:ind w:left="5040" w:hanging="360"/>
      </w:pPr>
      <w:rPr>
        <w:rFonts w:ascii="Symbol" w:hAnsi="Symbol" w:hint="default"/>
      </w:rPr>
    </w:lvl>
    <w:lvl w:ilvl="7" w:tplc="168A1096" w:tentative="1">
      <w:start w:val="1"/>
      <w:numFmt w:val="bullet"/>
      <w:lvlText w:val=""/>
      <w:lvlJc w:val="left"/>
      <w:pPr>
        <w:tabs>
          <w:tab w:val="num" w:pos="5760"/>
        </w:tabs>
        <w:ind w:left="5760" w:hanging="360"/>
      </w:pPr>
      <w:rPr>
        <w:rFonts w:ascii="Symbol" w:hAnsi="Symbol" w:hint="default"/>
      </w:rPr>
    </w:lvl>
    <w:lvl w:ilvl="8" w:tplc="C60424C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6D5B65"/>
    <w:multiLevelType w:val="hybridMultilevel"/>
    <w:tmpl w:val="15245BE4"/>
    <w:lvl w:ilvl="0" w:tplc="1409001B">
      <w:start w:val="1"/>
      <w:numFmt w:val="lowerRoman"/>
      <w:lvlText w:val="%1."/>
      <w:lvlJc w:val="right"/>
      <w:pPr>
        <w:ind w:left="761" w:hanging="360"/>
      </w:pPr>
    </w:lvl>
    <w:lvl w:ilvl="1" w:tplc="14090019" w:tentative="1">
      <w:start w:val="1"/>
      <w:numFmt w:val="lowerLetter"/>
      <w:lvlText w:val="%2."/>
      <w:lvlJc w:val="left"/>
      <w:pPr>
        <w:ind w:left="1481" w:hanging="360"/>
      </w:pPr>
    </w:lvl>
    <w:lvl w:ilvl="2" w:tplc="1409001B" w:tentative="1">
      <w:start w:val="1"/>
      <w:numFmt w:val="lowerRoman"/>
      <w:lvlText w:val="%3."/>
      <w:lvlJc w:val="right"/>
      <w:pPr>
        <w:ind w:left="2201" w:hanging="180"/>
      </w:pPr>
    </w:lvl>
    <w:lvl w:ilvl="3" w:tplc="1409000F" w:tentative="1">
      <w:start w:val="1"/>
      <w:numFmt w:val="decimal"/>
      <w:lvlText w:val="%4."/>
      <w:lvlJc w:val="left"/>
      <w:pPr>
        <w:ind w:left="2921" w:hanging="360"/>
      </w:pPr>
    </w:lvl>
    <w:lvl w:ilvl="4" w:tplc="14090019" w:tentative="1">
      <w:start w:val="1"/>
      <w:numFmt w:val="lowerLetter"/>
      <w:lvlText w:val="%5."/>
      <w:lvlJc w:val="left"/>
      <w:pPr>
        <w:ind w:left="3641" w:hanging="360"/>
      </w:pPr>
    </w:lvl>
    <w:lvl w:ilvl="5" w:tplc="1409001B" w:tentative="1">
      <w:start w:val="1"/>
      <w:numFmt w:val="lowerRoman"/>
      <w:lvlText w:val="%6."/>
      <w:lvlJc w:val="right"/>
      <w:pPr>
        <w:ind w:left="4361" w:hanging="180"/>
      </w:pPr>
    </w:lvl>
    <w:lvl w:ilvl="6" w:tplc="1409000F" w:tentative="1">
      <w:start w:val="1"/>
      <w:numFmt w:val="decimal"/>
      <w:lvlText w:val="%7."/>
      <w:lvlJc w:val="left"/>
      <w:pPr>
        <w:ind w:left="5081" w:hanging="360"/>
      </w:pPr>
    </w:lvl>
    <w:lvl w:ilvl="7" w:tplc="14090019" w:tentative="1">
      <w:start w:val="1"/>
      <w:numFmt w:val="lowerLetter"/>
      <w:lvlText w:val="%8."/>
      <w:lvlJc w:val="left"/>
      <w:pPr>
        <w:ind w:left="5801" w:hanging="360"/>
      </w:pPr>
    </w:lvl>
    <w:lvl w:ilvl="8" w:tplc="1409001B" w:tentative="1">
      <w:start w:val="1"/>
      <w:numFmt w:val="lowerRoman"/>
      <w:lvlText w:val="%9."/>
      <w:lvlJc w:val="right"/>
      <w:pPr>
        <w:ind w:left="6521" w:hanging="180"/>
      </w:pPr>
    </w:lvl>
  </w:abstractNum>
  <w:abstractNum w:abstractNumId="3" w15:restartNumberingAfterBreak="0">
    <w:nsid w:val="158A099C"/>
    <w:multiLevelType w:val="hybridMultilevel"/>
    <w:tmpl w:val="A864B5B2"/>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87F14D2"/>
    <w:multiLevelType w:val="hybridMultilevel"/>
    <w:tmpl w:val="6CCA12A8"/>
    <w:lvl w:ilvl="0" w:tplc="1409001B">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04731C9"/>
    <w:multiLevelType w:val="hybridMultilevel"/>
    <w:tmpl w:val="3F6A51C2"/>
    <w:lvl w:ilvl="0" w:tplc="CE4E3994">
      <w:start w:val="1"/>
      <w:numFmt w:val="bullet"/>
      <w:lvlText w:val=""/>
      <w:lvlJc w:val="left"/>
      <w:pPr>
        <w:tabs>
          <w:tab w:val="num" w:pos="720"/>
        </w:tabs>
        <w:ind w:left="720" w:hanging="360"/>
      </w:pPr>
      <w:rPr>
        <w:rFonts w:ascii="Symbol" w:hAnsi="Symbol" w:hint="default"/>
      </w:rPr>
    </w:lvl>
    <w:lvl w:ilvl="1" w:tplc="2DC689A0" w:tentative="1">
      <w:start w:val="1"/>
      <w:numFmt w:val="bullet"/>
      <w:lvlText w:val=""/>
      <w:lvlJc w:val="left"/>
      <w:pPr>
        <w:tabs>
          <w:tab w:val="num" w:pos="1440"/>
        </w:tabs>
        <w:ind w:left="1440" w:hanging="360"/>
      </w:pPr>
      <w:rPr>
        <w:rFonts w:ascii="Symbol" w:hAnsi="Symbol" w:hint="default"/>
      </w:rPr>
    </w:lvl>
    <w:lvl w:ilvl="2" w:tplc="482E84B2" w:tentative="1">
      <w:start w:val="1"/>
      <w:numFmt w:val="bullet"/>
      <w:lvlText w:val=""/>
      <w:lvlJc w:val="left"/>
      <w:pPr>
        <w:tabs>
          <w:tab w:val="num" w:pos="2160"/>
        </w:tabs>
        <w:ind w:left="2160" w:hanging="360"/>
      </w:pPr>
      <w:rPr>
        <w:rFonts w:ascii="Symbol" w:hAnsi="Symbol" w:hint="default"/>
      </w:rPr>
    </w:lvl>
    <w:lvl w:ilvl="3" w:tplc="379E0424" w:tentative="1">
      <w:start w:val="1"/>
      <w:numFmt w:val="bullet"/>
      <w:lvlText w:val=""/>
      <w:lvlJc w:val="left"/>
      <w:pPr>
        <w:tabs>
          <w:tab w:val="num" w:pos="2880"/>
        </w:tabs>
        <w:ind w:left="2880" w:hanging="360"/>
      </w:pPr>
      <w:rPr>
        <w:rFonts w:ascii="Symbol" w:hAnsi="Symbol" w:hint="default"/>
      </w:rPr>
    </w:lvl>
    <w:lvl w:ilvl="4" w:tplc="1704617E" w:tentative="1">
      <w:start w:val="1"/>
      <w:numFmt w:val="bullet"/>
      <w:lvlText w:val=""/>
      <w:lvlJc w:val="left"/>
      <w:pPr>
        <w:tabs>
          <w:tab w:val="num" w:pos="3600"/>
        </w:tabs>
        <w:ind w:left="3600" w:hanging="360"/>
      </w:pPr>
      <w:rPr>
        <w:rFonts w:ascii="Symbol" w:hAnsi="Symbol" w:hint="default"/>
      </w:rPr>
    </w:lvl>
    <w:lvl w:ilvl="5" w:tplc="77AEB200" w:tentative="1">
      <w:start w:val="1"/>
      <w:numFmt w:val="bullet"/>
      <w:lvlText w:val=""/>
      <w:lvlJc w:val="left"/>
      <w:pPr>
        <w:tabs>
          <w:tab w:val="num" w:pos="4320"/>
        </w:tabs>
        <w:ind w:left="4320" w:hanging="360"/>
      </w:pPr>
      <w:rPr>
        <w:rFonts w:ascii="Symbol" w:hAnsi="Symbol" w:hint="default"/>
      </w:rPr>
    </w:lvl>
    <w:lvl w:ilvl="6" w:tplc="565C8BB8" w:tentative="1">
      <w:start w:val="1"/>
      <w:numFmt w:val="bullet"/>
      <w:lvlText w:val=""/>
      <w:lvlJc w:val="left"/>
      <w:pPr>
        <w:tabs>
          <w:tab w:val="num" w:pos="5040"/>
        </w:tabs>
        <w:ind w:left="5040" w:hanging="360"/>
      </w:pPr>
      <w:rPr>
        <w:rFonts w:ascii="Symbol" w:hAnsi="Symbol" w:hint="default"/>
      </w:rPr>
    </w:lvl>
    <w:lvl w:ilvl="7" w:tplc="750605BE" w:tentative="1">
      <w:start w:val="1"/>
      <w:numFmt w:val="bullet"/>
      <w:lvlText w:val=""/>
      <w:lvlJc w:val="left"/>
      <w:pPr>
        <w:tabs>
          <w:tab w:val="num" w:pos="5760"/>
        </w:tabs>
        <w:ind w:left="5760" w:hanging="360"/>
      </w:pPr>
      <w:rPr>
        <w:rFonts w:ascii="Symbol" w:hAnsi="Symbol" w:hint="default"/>
      </w:rPr>
    </w:lvl>
    <w:lvl w:ilvl="8" w:tplc="8B3E526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ACD5845"/>
    <w:multiLevelType w:val="hybridMultilevel"/>
    <w:tmpl w:val="47F62008"/>
    <w:lvl w:ilvl="0" w:tplc="40300320">
      <w:start w:val="1"/>
      <w:numFmt w:val="bullet"/>
      <w:lvlText w:val=""/>
      <w:lvlJc w:val="left"/>
      <w:pPr>
        <w:tabs>
          <w:tab w:val="num" w:pos="720"/>
        </w:tabs>
        <w:ind w:left="720" w:hanging="360"/>
      </w:pPr>
      <w:rPr>
        <w:rFonts w:ascii="Symbol" w:hAnsi="Symbol" w:hint="default"/>
      </w:rPr>
    </w:lvl>
    <w:lvl w:ilvl="1" w:tplc="33661CC4" w:tentative="1">
      <w:start w:val="1"/>
      <w:numFmt w:val="bullet"/>
      <w:lvlText w:val=""/>
      <w:lvlJc w:val="left"/>
      <w:pPr>
        <w:tabs>
          <w:tab w:val="num" w:pos="1440"/>
        </w:tabs>
        <w:ind w:left="1440" w:hanging="360"/>
      </w:pPr>
      <w:rPr>
        <w:rFonts w:ascii="Symbol" w:hAnsi="Symbol" w:hint="default"/>
      </w:rPr>
    </w:lvl>
    <w:lvl w:ilvl="2" w:tplc="FF26E024" w:tentative="1">
      <w:start w:val="1"/>
      <w:numFmt w:val="bullet"/>
      <w:lvlText w:val=""/>
      <w:lvlJc w:val="left"/>
      <w:pPr>
        <w:tabs>
          <w:tab w:val="num" w:pos="2160"/>
        </w:tabs>
        <w:ind w:left="2160" w:hanging="360"/>
      </w:pPr>
      <w:rPr>
        <w:rFonts w:ascii="Symbol" w:hAnsi="Symbol" w:hint="default"/>
      </w:rPr>
    </w:lvl>
    <w:lvl w:ilvl="3" w:tplc="4A1EDD40" w:tentative="1">
      <w:start w:val="1"/>
      <w:numFmt w:val="bullet"/>
      <w:lvlText w:val=""/>
      <w:lvlJc w:val="left"/>
      <w:pPr>
        <w:tabs>
          <w:tab w:val="num" w:pos="2880"/>
        </w:tabs>
        <w:ind w:left="2880" w:hanging="360"/>
      </w:pPr>
      <w:rPr>
        <w:rFonts w:ascii="Symbol" w:hAnsi="Symbol" w:hint="default"/>
      </w:rPr>
    </w:lvl>
    <w:lvl w:ilvl="4" w:tplc="8F426C70" w:tentative="1">
      <w:start w:val="1"/>
      <w:numFmt w:val="bullet"/>
      <w:lvlText w:val=""/>
      <w:lvlJc w:val="left"/>
      <w:pPr>
        <w:tabs>
          <w:tab w:val="num" w:pos="3600"/>
        </w:tabs>
        <w:ind w:left="3600" w:hanging="360"/>
      </w:pPr>
      <w:rPr>
        <w:rFonts w:ascii="Symbol" w:hAnsi="Symbol" w:hint="default"/>
      </w:rPr>
    </w:lvl>
    <w:lvl w:ilvl="5" w:tplc="8E62DA54" w:tentative="1">
      <w:start w:val="1"/>
      <w:numFmt w:val="bullet"/>
      <w:lvlText w:val=""/>
      <w:lvlJc w:val="left"/>
      <w:pPr>
        <w:tabs>
          <w:tab w:val="num" w:pos="4320"/>
        </w:tabs>
        <w:ind w:left="4320" w:hanging="360"/>
      </w:pPr>
      <w:rPr>
        <w:rFonts w:ascii="Symbol" w:hAnsi="Symbol" w:hint="default"/>
      </w:rPr>
    </w:lvl>
    <w:lvl w:ilvl="6" w:tplc="48369864" w:tentative="1">
      <w:start w:val="1"/>
      <w:numFmt w:val="bullet"/>
      <w:lvlText w:val=""/>
      <w:lvlJc w:val="left"/>
      <w:pPr>
        <w:tabs>
          <w:tab w:val="num" w:pos="5040"/>
        </w:tabs>
        <w:ind w:left="5040" w:hanging="360"/>
      </w:pPr>
      <w:rPr>
        <w:rFonts w:ascii="Symbol" w:hAnsi="Symbol" w:hint="default"/>
      </w:rPr>
    </w:lvl>
    <w:lvl w:ilvl="7" w:tplc="D09C67C0" w:tentative="1">
      <w:start w:val="1"/>
      <w:numFmt w:val="bullet"/>
      <w:lvlText w:val=""/>
      <w:lvlJc w:val="left"/>
      <w:pPr>
        <w:tabs>
          <w:tab w:val="num" w:pos="5760"/>
        </w:tabs>
        <w:ind w:left="5760" w:hanging="360"/>
      </w:pPr>
      <w:rPr>
        <w:rFonts w:ascii="Symbol" w:hAnsi="Symbol" w:hint="default"/>
      </w:rPr>
    </w:lvl>
    <w:lvl w:ilvl="8" w:tplc="B24A4884" w:tentative="1">
      <w:start w:val="1"/>
      <w:numFmt w:val="bullet"/>
      <w:lvlText w:val=""/>
      <w:lvlJc w:val="left"/>
      <w:pPr>
        <w:tabs>
          <w:tab w:val="num" w:pos="6480"/>
        </w:tabs>
        <w:ind w:left="6480" w:hanging="360"/>
      </w:pPr>
      <w:rPr>
        <w:rFonts w:ascii="Symbol" w:hAnsi="Symbol" w:hint="default"/>
      </w:rPr>
    </w:lvl>
  </w:abstractNum>
  <w:num w:numId="1" w16cid:durableId="647779878">
    <w:abstractNumId w:val="4"/>
  </w:num>
  <w:num w:numId="2" w16cid:durableId="34165955">
    <w:abstractNumId w:val="3"/>
  </w:num>
  <w:num w:numId="3" w16cid:durableId="1707295441">
    <w:abstractNumId w:val="2"/>
  </w:num>
  <w:num w:numId="4" w16cid:durableId="1511330690">
    <w:abstractNumId w:val="0"/>
  </w:num>
  <w:num w:numId="5" w16cid:durableId="887687012">
    <w:abstractNumId w:val="1"/>
  </w:num>
  <w:num w:numId="6" w16cid:durableId="1223327676">
    <w:abstractNumId w:val="5"/>
  </w:num>
  <w:num w:numId="7" w16cid:durableId="604339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56"/>
    <w:rsid w:val="004E062E"/>
    <w:rsid w:val="006D21E2"/>
    <w:rsid w:val="008C7956"/>
    <w:rsid w:val="00B37240"/>
    <w:rsid w:val="00CC0D78"/>
    <w:rsid w:val="00EF1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623A"/>
  <w15:chartTrackingRefBased/>
  <w15:docId w15:val="{C063B205-69EE-4F3A-B3BD-F9B2CC4E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56"/>
  </w:style>
  <w:style w:type="paragraph" w:styleId="Heading1">
    <w:name w:val="heading 1"/>
    <w:basedOn w:val="Normal"/>
    <w:next w:val="Normal"/>
    <w:link w:val="Heading1Char"/>
    <w:uiPriority w:val="9"/>
    <w:qFormat/>
    <w:rsid w:val="008C7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956"/>
    <w:rPr>
      <w:rFonts w:eastAsiaTheme="majorEastAsia" w:cstheme="majorBidi"/>
      <w:color w:val="272727" w:themeColor="text1" w:themeTint="D8"/>
    </w:rPr>
  </w:style>
  <w:style w:type="paragraph" w:styleId="Title">
    <w:name w:val="Title"/>
    <w:basedOn w:val="Normal"/>
    <w:next w:val="Normal"/>
    <w:link w:val="TitleChar"/>
    <w:uiPriority w:val="10"/>
    <w:qFormat/>
    <w:rsid w:val="008C7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956"/>
    <w:pPr>
      <w:spacing w:before="160"/>
      <w:jc w:val="center"/>
    </w:pPr>
    <w:rPr>
      <w:i/>
      <w:iCs/>
      <w:color w:val="404040" w:themeColor="text1" w:themeTint="BF"/>
    </w:rPr>
  </w:style>
  <w:style w:type="character" w:customStyle="1" w:styleId="QuoteChar">
    <w:name w:val="Quote Char"/>
    <w:basedOn w:val="DefaultParagraphFont"/>
    <w:link w:val="Quote"/>
    <w:uiPriority w:val="29"/>
    <w:rsid w:val="008C7956"/>
    <w:rPr>
      <w:i/>
      <w:iCs/>
      <w:color w:val="404040" w:themeColor="text1" w:themeTint="BF"/>
    </w:rPr>
  </w:style>
  <w:style w:type="paragraph" w:styleId="ListParagraph">
    <w:name w:val="List Paragraph"/>
    <w:basedOn w:val="Normal"/>
    <w:uiPriority w:val="34"/>
    <w:qFormat/>
    <w:rsid w:val="008C7956"/>
    <w:pPr>
      <w:ind w:left="720"/>
      <w:contextualSpacing/>
    </w:pPr>
  </w:style>
  <w:style w:type="character" w:styleId="IntenseEmphasis">
    <w:name w:val="Intense Emphasis"/>
    <w:basedOn w:val="DefaultParagraphFont"/>
    <w:uiPriority w:val="21"/>
    <w:qFormat/>
    <w:rsid w:val="008C7956"/>
    <w:rPr>
      <w:i/>
      <w:iCs/>
      <w:color w:val="0F4761" w:themeColor="accent1" w:themeShade="BF"/>
    </w:rPr>
  </w:style>
  <w:style w:type="paragraph" w:styleId="IntenseQuote">
    <w:name w:val="Intense Quote"/>
    <w:basedOn w:val="Normal"/>
    <w:next w:val="Normal"/>
    <w:link w:val="IntenseQuoteChar"/>
    <w:uiPriority w:val="30"/>
    <w:qFormat/>
    <w:rsid w:val="008C7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956"/>
    <w:rPr>
      <w:i/>
      <w:iCs/>
      <w:color w:val="0F4761" w:themeColor="accent1" w:themeShade="BF"/>
    </w:rPr>
  </w:style>
  <w:style w:type="character" w:styleId="IntenseReference">
    <w:name w:val="Intense Reference"/>
    <w:basedOn w:val="DefaultParagraphFont"/>
    <w:uiPriority w:val="32"/>
    <w:qFormat/>
    <w:rsid w:val="008C7956"/>
    <w:rPr>
      <w:b/>
      <w:bCs/>
      <w:smallCaps/>
      <w:color w:val="0F4761" w:themeColor="accent1" w:themeShade="BF"/>
      <w:spacing w:val="5"/>
    </w:rPr>
  </w:style>
  <w:style w:type="table" w:styleId="TableGrid">
    <w:name w:val="Table Grid"/>
    <w:basedOn w:val="TableNormal"/>
    <w:uiPriority w:val="39"/>
    <w:rsid w:val="008C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661</Words>
  <Characters>3819</Characters>
  <Application>Microsoft Office Word</Application>
  <DocSecurity>0</DocSecurity>
  <Lines>115</Lines>
  <Paragraphs>79</Paragraphs>
  <ScaleCrop>false</ScaleCrop>
  <Company>Otago Polytechnic</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O'Fee</dc:creator>
  <cp:keywords/>
  <dc:description/>
  <cp:lastModifiedBy>Jeanette O'Fee</cp:lastModifiedBy>
  <cp:revision>1</cp:revision>
  <dcterms:created xsi:type="dcterms:W3CDTF">2026-01-11T20:47:00Z</dcterms:created>
  <dcterms:modified xsi:type="dcterms:W3CDTF">2026-01-11T20:49:00Z</dcterms:modified>
</cp:coreProperties>
</file>