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B402" w14:textId="77777777" w:rsidR="00DE2C8B" w:rsidRPr="00EA720E" w:rsidRDefault="00DE2C8B" w:rsidP="00DE2C8B">
      <w:pPr>
        <w:rPr>
          <w:b/>
          <w:bCs/>
          <w:sz w:val="40"/>
          <w:szCs w:val="40"/>
        </w:rPr>
      </w:pPr>
      <w:r w:rsidRPr="00EA720E">
        <w:rPr>
          <w:b/>
          <w:bCs/>
          <w:sz w:val="40"/>
          <w:szCs w:val="40"/>
        </w:rPr>
        <w:t>Appendix A – Relevant Legislation</w:t>
      </w:r>
    </w:p>
    <w:p w14:paraId="5B5F7C54" w14:textId="77777777" w:rsidR="00DE2C8B" w:rsidRPr="00DE2C8B" w:rsidRDefault="00DE2C8B" w:rsidP="00DE2C8B">
      <w:pPr>
        <w:rPr>
          <w:rFonts w:ascii="Arial" w:hAnsi="Arial" w:cs="Arial"/>
          <w:b/>
          <w:bCs/>
          <w:sz w:val="24"/>
          <w:szCs w:val="24"/>
          <w:u w:val="single"/>
        </w:rPr>
      </w:pPr>
      <w:r w:rsidRPr="00DE2C8B">
        <w:rPr>
          <w:rFonts w:ascii="Arial" w:hAnsi="Arial" w:cs="Arial"/>
          <w:b/>
          <w:bCs/>
          <w:sz w:val="24"/>
          <w:szCs w:val="24"/>
          <w:u w:val="single"/>
        </w:rPr>
        <w:t>Education and Training Act 2020:</w:t>
      </w:r>
    </w:p>
    <w:p w14:paraId="793186EB" w14:textId="77777777" w:rsidR="00DE2C8B" w:rsidRPr="00DE2C8B" w:rsidRDefault="00DE2C8B" w:rsidP="00DE2C8B">
      <w:pPr>
        <w:rPr>
          <w:rFonts w:ascii="Arial" w:hAnsi="Arial" w:cs="Arial"/>
          <w:b/>
          <w:bCs/>
          <w:sz w:val="24"/>
          <w:szCs w:val="24"/>
        </w:rPr>
      </w:pPr>
      <w:r w:rsidRPr="00DE2C8B">
        <w:rPr>
          <w:rFonts w:ascii="Arial" w:hAnsi="Arial" w:cs="Arial"/>
          <w:b/>
          <w:bCs/>
          <w:sz w:val="24"/>
          <w:szCs w:val="24"/>
        </w:rPr>
        <w:t>282 Powers of institutions</w:t>
      </w:r>
    </w:p>
    <w:p w14:paraId="7C11CE7E" w14:textId="77777777" w:rsidR="00DE2C8B" w:rsidRPr="00DE2C8B" w:rsidRDefault="00DE2C8B" w:rsidP="00DE2C8B">
      <w:pPr>
        <w:rPr>
          <w:rFonts w:ascii="Arial" w:hAnsi="Arial" w:cs="Arial"/>
          <w:sz w:val="24"/>
          <w:szCs w:val="24"/>
        </w:rPr>
      </w:pPr>
      <w:r w:rsidRPr="00DE2C8B">
        <w:rPr>
          <w:rFonts w:ascii="Arial" w:hAnsi="Arial" w:cs="Arial"/>
          <w:sz w:val="24"/>
          <w:szCs w:val="24"/>
        </w:rPr>
        <w:t>(4) An institution may not exercise any of the following powers without the written consent of the Secretary:</w:t>
      </w:r>
    </w:p>
    <w:p w14:paraId="522BB1FB"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(a) the power to sell or otherwise dispose of assets or interests in assets:</w:t>
      </w:r>
    </w:p>
    <w:p w14:paraId="7157CDE9"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 xml:space="preserve">(b) the power to mortgage or otherwise </w:t>
      </w:r>
      <w:proofErr w:type="gramStart"/>
      <w:r w:rsidRPr="00DE2C8B">
        <w:rPr>
          <w:rFonts w:ascii="Arial" w:hAnsi="Arial" w:cs="Arial"/>
          <w:sz w:val="24"/>
          <w:szCs w:val="24"/>
        </w:rPr>
        <w:t>charge</w:t>
      </w:r>
      <w:proofErr w:type="gramEnd"/>
      <w:r w:rsidRPr="00DE2C8B">
        <w:rPr>
          <w:rFonts w:ascii="Arial" w:hAnsi="Arial" w:cs="Arial"/>
          <w:sz w:val="24"/>
          <w:szCs w:val="24"/>
        </w:rPr>
        <w:t xml:space="preserve"> assets or interests in assets:</w:t>
      </w:r>
    </w:p>
    <w:p w14:paraId="50835AC8"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(c) the power to grant leases of land or buildings or parts of buildings:</w:t>
      </w:r>
    </w:p>
    <w:p w14:paraId="5A3E7D4D"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(d) the power to borrow, issue debentures, or otherwise raise money.</w:t>
      </w:r>
    </w:p>
    <w:p w14:paraId="2A59DA3A" w14:textId="1EAC810D" w:rsidR="00DE2C8B" w:rsidRPr="00DE2C8B" w:rsidRDefault="00DE2C8B" w:rsidP="00DE2C8B">
      <w:pPr>
        <w:rPr>
          <w:rFonts w:ascii="Arial" w:hAnsi="Arial" w:cs="Arial"/>
          <w:sz w:val="24"/>
          <w:szCs w:val="24"/>
        </w:rPr>
      </w:pPr>
      <w:r w:rsidRPr="00DE2C8B">
        <w:rPr>
          <w:rFonts w:ascii="Arial" w:hAnsi="Arial" w:cs="Arial"/>
          <w:sz w:val="24"/>
          <w:szCs w:val="24"/>
        </w:rPr>
        <w:t>(5) Despite subsection (4), an institution may, without the consent of the Secretary</w:t>
      </w:r>
      <w:r>
        <w:rPr>
          <w:rFonts w:ascii="Arial" w:hAnsi="Arial" w:cs="Arial"/>
          <w:sz w:val="24"/>
          <w:szCs w:val="24"/>
        </w:rPr>
        <w:t xml:space="preserve"> -</w:t>
      </w:r>
    </w:p>
    <w:p w14:paraId="5415A216"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(a) sell or otherwise dispose of, or mortgage or otherwise charge, an asset or an interest in an asset, where the value of the asset or interest does not exceed an amount determined by the Minister or an amount ascertained in accordance with a formula determined by the Minister:</w:t>
      </w:r>
    </w:p>
    <w:p w14:paraId="5CF7F69D"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(b) grant a lease for a term that does not exceed, and when added to any term for which the lease may be renewed does not exceed, 15 years:</w:t>
      </w:r>
    </w:p>
    <w:p w14:paraId="2FBCCFF6"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(c) borrow, issue debentures, or otherwise raise money, where the amount to be borrowed, the amount of the debentures, or the amount to be raised, does not exceed an amount determined by the Minister or ascertained in accordance with a formula determined by the Minister.</w:t>
      </w:r>
    </w:p>
    <w:p w14:paraId="7982CB8F" w14:textId="77777777" w:rsidR="00DE2C8B" w:rsidRPr="00DE2C8B" w:rsidRDefault="00DE2C8B" w:rsidP="00DE2C8B">
      <w:pPr>
        <w:rPr>
          <w:rFonts w:ascii="Arial" w:hAnsi="Arial" w:cs="Arial"/>
          <w:b/>
          <w:bCs/>
          <w:sz w:val="24"/>
          <w:szCs w:val="24"/>
        </w:rPr>
      </w:pPr>
      <w:r w:rsidRPr="00DE2C8B">
        <w:rPr>
          <w:rFonts w:ascii="Arial" w:hAnsi="Arial" w:cs="Arial"/>
          <w:b/>
          <w:bCs/>
          <w:sz w:val="24"/>
          <w:szCs w:val="24"/>
        </w:rPr>
        <w:t>297 Bank accounts</w:t>
      </w:r>
    </w:p>
    <w:p w14:paraId="29C819D2" w14:textId="77777777" w:rsidR="00DE2C8B" w:rsidRPr="00DE2C8B" w:rsidRDefault="00DE2C8B" w:rsidP="00DE2C8B">
      <w:pPr>
        <w:rPr>
          <w:rFonts w:ascii="Arial" w:hAnsi="Arial" w:cs="Arial"/>
          <w:sz w:val="24"/>
          <w:szCs w:val="24"/>
        </w:rPr>
      </w:pPr>
      <w:r w:rsidRPr="00DE2C8B">
        <w:rPr>
          <w:rFonts w:ascii="Arial" w:hAnsi="Arial" w:cs="Arial"/>
          <w:sz w:val="24"/>
          <w:szCs w:val="24"/>
        </w:rPr>
        <w:t>(1) An institution’s council may establish, maintain, and operate bank accounts in the name of the institution at any registered bank or any registered building society with which a Crown entity may establish, maintain, or operate a bank account under section 158 of the Crown Entities Act 2004.</w:t>
      </w:r>
    </w:p>
    <w:p w14:paraId="7C936447" w14:textId="77777777" w:rsidR="00DE2C8B" w:rsidRPr="00DE2C8B" w:rsidRDefault="00DE2C8B" w:rsidP="00DE2C8B">
      <w:pPr>
        <w:rPr>
          <w:rFonts w:ascii="Arial" w:hAnsi="Arial" w:cs="Arial"/>
          <w:sz w:val="24"/>
          <w:szCs w:val="24"/>
        </w:rPr>
      </w:pPr>
      <w:r w:rsidRPr="00DE2C8B">
        <w:rPr>
          <w:rFonts w:ascii="Arial" w:hAnsi="Arial" w:cs="Arial"/>
          <w:sz w:val="24"/>
          <w:szCs w:val="24"/>
        </w:rPr>
        <w:t>(2) As soon as practicable after receiving any money, the council must pay it into one of the institution’s bank accounts.</w:t>
      </w:r>
    </w:p>
    <w:p w14:paraId="3D7AF393" w14:textId="77777777" w:rsidR="00DE2C8B" w:rsidRPr="00DE2C8B" w:rsidRDefault="00DE2C8B" w:rsidP="00DE2C8B">
      <w:pPr>
        <w:rPr>
          <w:rFonts w:ascii="Arial" w:hAnsi="Arial" w:cs="Arial"/>
          <w:sz w:val="24"/>
          <w:szCs w:val="24"/>
        </w:rPr>
      </w:pPr>
      <w:r w:rsidRPr="00DE2C8B">
        <w:rPr>
          <w:rFonts w:ascii="Arial" w:hAnsi="Arial" w:cs="Arial"/>
          <w:sz w:val="24"/>
          <w:szCs w:val="24"/>
        </w:rPr>
        <w:t>(3) The council must properly authorise every withdrawal and payment of money from any of the institution’s bank accounts.</w:t>
      </w:r>
    </w:p>
    <w:p w14:paraId="30DF2AF1" w14:textId="77777777" w:rsidR="00DE2C8B" w:rsidRPr="00DE2C8B" w:rsidRDefault="00DE2C8B" w:rsidP="00DE2C8B">
      <w:pPr>
        <w:rPr>
          <w:rFonts w:ascii="Arial" w:hAnsi="Arial" w:cs="Arial"/>
          <w:b/>
          <w:bCs/>
          <w:sz w:val="24"/>
          <w:szCs w:val="24"/>
        </w:rPr>
      </w:pPr>
      <w:r w:rsidRPr="00DE2C8B">
        <w:rPr>
          <w:rFonts w:ascii="Arial" w:hAnsi="Arial" w:cs="Arial"/>
          <w:b/>
          <w:bCs/>
          <w:sz w:val="24"/>
          <w:szCs w:val="24"/>
        </w:rPr>
        <w:t>305 Institutions are Crown entities</w:t>
      </w:r>
    </w:p>
    <w:p w14:paraId="7C7F1F89" w14:textId="77777777" w:rsidR="00DE2C8B" w:rsidRPr="00DE2C8B" w:rsidRDefault="00DE2C8B" w:rsidP="00DE2C8B">
      <w:pPr>
        <w:rPr>
          <w:rFonts w:ascii="Arial" w:hAnsi="Arial" w:cs="Arial"/>
          <w:sz w:val="24"/>
          <w:szCs w:val="24"/>
        </w:rPr>
      </w:pPr>
      <w:r w:rsidRPr="00DE2C8B">
        <w:rPr>
          <w:rFonts w:ascii="Arial" w:hAnsi="Arial" w:cs="Arial"/>
          <w:sz w:val="24"/>
          <w:szCs w:val="24"/>
        </w:rPr>
        <w:t>(1) Every institution is a Crown entity for the purposes of </w:t>
      </w:r>
      <w:hyperlink r:id="rId4" w:anchor="DLM329641" w:history="1">
        <w:r w:rsidRPr="00DE2C8B">
          <w:rPr>
            <w:rStyle w:val="Hyperlink"/>
            <w:rFonts w:ascii="Arial" w:hAnsi="Arial" w:cs="Arial"/>
            <w:sz w:val="24"/>
            <w:szCs w:val="24"/>
          </w:rPr>
          <w:t>section 7</w:t>
        </w:r>
      </w:hyperlink>
      <w:r w:rsidRPr="00DE2C8B">
        <w:rPr>
          <w:rFonts w:ascii="Arial" w:hAnsi="Arial" w:cs="Arial"/>
          <w:sz w:val="24"/>
          <w:szCs w:val="24"/>
        </w:rPr>
        <w:t> of the Crown Entities Act 2004.</w:t>
      </w:r>
    </w:p>
    <w:p w14:paraId="33E9CF9E" w14:textId="77777777" w:rsidR="00DE2C8B" w:rsidRPr="00DE2C8B" w:rsidRDefault="00DE2C8B" w:rsidP="00DE2C8B">
      <w:pPr>
        <w:rPr>
          <w:rFonts w:ascii="Arial" w:hAnsi="Arial" w:cs="Arial"/>
          <w:sz w:val="24"/>
          <w:szCs w:val="24"/>
        </w:rPr>
      </w:pPr>
      <w:r w:rsidRPr="00DE2C8B">
        <w:rPr>
          <w:rFonts w:ascii="Arial" w:hAnsi="Arial" w:cs="Arial"/>
          <w:sz w:val="24"/>
          <w:szCs w:val="24"/>
        </w:rPr>
        <w:t>(2) However, that Act applies to institutions and their Crown entity subsidiaries (within the meaning of that Act) only to the extent that this section provides.</w:t>
      </w:r>
    </w:p>
    <w:p w14:paraId="2BCEBC30" w14:textId="77777777" w:rsidR="00DE2C8B" w:rsidRPr="00DE2C8B" w:rsidRDefault="00DE2C8B" w:rsidP="00DE2C8B">
      <w:pPr>
        <w:rPr>
          <w:rFonts w:ascii="Arial" w:hAnsi="Arial" w:cs="Arial"/>
          <w:sz w:val="24"/>
          <w:szCs w:val="24"/>
        </w:rPr>
      </w:pPr>
      <w:r w:rsidRPr="00DE2C8B">
        <w:rPr>
          <w:rFonts w:ascii="Arial" w:hAnsi="Arial" w:cs="Arial"/>
          <w:sz w:val="24"/>
          <w:szCs w:val="24"/>
        </w:rPr>
        <w:lastRenderedPageBreak/>
        <w:t xml:space="preserve">(3) </w:t>
      </w:r>
      <w:hyperlink r:id="rId5" w:anchor="LMS330949" w:history="1">
        <w:r w:rsidRPr="00DE2C8B">
          <w:rPr>
            <w:rStyle w:val="Hyperlink"/>
            <w:rFonts w:ascii="Arial" w:hAnsi="Arial" w:cs="Arial"/>
            <w:sz w:val="24"/>
            <w:szCs w:val="24"/>
          </w:rPr>
          <w:t>Part 1</w:t>
        </w:r>
      </w:hyperlink>
      <w:r w:rsidRPr="00DE2C8B">
        <w:rPr>
          <w:rFonts w:ascii="Arial" w:hAnsi="Arial" w:cs="Arial"/>
          <w:sz w:val="24"/>
          <w:szCs w:val="24"/>
        </w:rPr>
        <w:t> of Schedule 4 of that Act applies to all institutions and their Crown entity subsidiaries (within the meaning of that Act).</w:t>
      </w:r>
    </w:p>
    <w:p w14:paraId="35164478" w14:textId="77777777" w:rsidR="00DE2C8B" w:rsidRPr="00DE2C8B" w:rsidRDefault="00DE2C8B" w:rsidP="00DE2C8B">
      <w:pPr>
        <w:rPr>
          <w:rFonts w:ascii="Arial" w:hAnsi="Arial" w:cs="Arial"/>
          <w:sz w:val="24"/>
          <w:szCs w:val="24"/>
        </w:rPr>
      </w:pPr>
      <w:r w:rsidRPr="00DE2C8B">
        <w:rPr>
          <w:rFonts w:ascii="Arial" w:hAnsi="Arial" w:cs="Arial"/>
          <w:sz w:val="24"/>
          <w:szCs w:val="24"/>
        </w:rPr>
        <w:t xml:space="preserve">(4) </w:t>
      </w:r>
      <w:hyperlink r:id="rId6" w:anchor="DLM162921" w:history="1">
        <w:r w:rsidRPr="00DE2C8B">
          <w:rPr>
            <w:rStyle w:val="Hyperlink"/>
            <w:rFonts w:ascii="Arial" w:hAnsi="Arial" w:cs="Arial"/>
            <w:sz w:val="24"/>
            <w:szCs w:val="24"/>
          </w:rPr>
          <w:t>Section 65I(1) and (2)</w:t>
        </w:r>
      </w:hyperlink>
      <w:r w:rsidRPr="00DE2C8B">
        <w:rPr>
          <w:rFonts w:ascii="Arial" w:hAnsi="Arial" w:cs="Arial"/>
          <w:sz w:val="24"/>
          <w:szCs w:val="24"/>
        </w:rPr>
        <w:t> of the Public Finance Act 1989—</w:t>
      </w:r>
    </w:p>
    <w:p w14:paraId="324D90ED"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(a) applies, with all necessary modifications, to institutions and, accordingly, every institution must invest in the same manner as the Treasury invests money under that section; but</w:t>
      </w:r>
    </w:p>
    <w:p w14:paraId="64BDAC10"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(b) does not apply in respect of any investment made by an institution in the financial products of a related entity.</w:t>
      </w:r>
    </w:p>
    <w:p w14:paraId="5B7EC517" w14:textId="77777777" w:rsidR="00DE2C8B" w:rsidRPr="00DE2C8B" w:rsidRDefault="00DE2C8B" w:rsidP="00DE2C8B">
      <w:pPr>
        <w:rPr>
          <w:rFonts w:ascii="Arial" w:hAnsi="Arial" w:cs="Arial"/>
          <w:sz w:val="24"/>
          <w:szCs w:val="24"/>
        </w:rPr>
      </w:pPr>
      <w:r w:rsidRPr="00DE2C8B">
        <w:rPr>
          <w:rFonts w:ascii="Arial" w:hAnsi="Arial" w:cs="Arial"/>
          <w:sz w:val="24"/>
          <w:szCs w:val="24"/>
        </w:rPr>
        <w:t>(5) An instruction issued by the Minister of Finance under </w:t>
      </w:r>
      <w:hyperlink r:id="rId7" w:anchor="DLM163153" w:history="1">
        <w:r w:rsidRPr="00DE2C8B">
          <w:rPr>
            <w:rStyle w:val="Hyperlink"/>
            <w:rFonts w:ascii="Arial" w:hAnsi="Arial" w:cs="Arial"/>
            <w:sz w:val="24"/>
            <w:szCs w:val="24"/>
          </w:rPr>
          <w:t>section 80A</w:t>
        </w:r>
      </w:hyperlink>
      <w:r w:rsidRPr="00DE2C8B">
        <w:rPr>
          <w:rFonts w:ascii="Arial" w:hAnsi="Arial" w:cs="Arial"/>
          <w:sz w:val="24"/>
          <w:szCs w:val="24"/>
        </w:rPr>
        <w:t> of the Public Finance Act 1989 does not apply to an institution.</w:t>
      </w:r>
    </w:p>
    <w:p w14:paraId="295BF70C" w14:textId="77777777" w:rsidR="00DE2C8B" w:rsidRPr="00DE2C8B" w:rsidRDefault="00DE2C8B" w:rsidP="00DE2C8B">
      <w:pPr>
        <w:rPr>
          <w:rFonts w:ascii="Arial" w:hAnsi="Arial" w:cs="Arial"/>
          <w:sz w:val="24"/>
          <w:szCs w:val="24"/>
        </w:rPr>
      </w:pPr>
      <w:r w:rsidRPr="00DE2C8B">
        <w:rPr>
          <w:rFonts w:ascii="Arial" w:hAnsi="Arial" w:cs="Arial"/>
          <w:sz w:val="24"/>
          <w:szCs w:val="24"/>
        </w:rPr>
        <w:t>(6) The financial year of an institution is an academic year.</w:t>
      </w:r>
    </w:p>
    <w:p w14:paraId="48214C38" w14:textId="77777777" w:rsidR="00DE2C8B" w:rsidRPr="00DE2C8B" w:rsidRDefault="00DE2C8B" w:rsidP="00DE2C8B">
      <w:pPr>
        <w:rPr>
          <w:rFonts w:ascii="Arial" w:hAnsi="Arial" w:cs="Arial"/>
          <w:sz w:val="24"/>
          <w:szCs w:val="24"/>
        </w:rPr>
      </w:pPr>
      <w:r w:rsidRPr="00DE2C8B">
        <w:rPr>
          <w:rFonts w:ascii="Arial" w:hAnsi="Arial" w:cs="Arial"/>
          <w:sz w:val="24"/>
          <w:szCs w:val="24"/>
        </w:rPr>
        <w:t>(7) The council members of an institution are the board for the purposes of the </w:t>
      </w:r>
      <w:hyperlink r:id="rId8" w:history="1">
        <w:r w:rsidRPr="00DE2C8B">
          <w:rPr>
            <w:rStyle w:val="Hyperlink"/>
            <w:rFonts w:ascii="Arial" w:hAnsi="Arial" w:cs="Arial"/>
            <w:sz w:val="24"/>
            <w:szCs w:val="24"/>
          </w:rPr>
          <w:t>Crown Entities Act 2004</w:t>
        </w:r>
      </w:hyperlink>
      <w:r w:rsidRPr="00DE2C8B">
        <w:rPr>
          <w:rFonts w:ascii="Arial" w:hAnsi="Arial" w:cs="Arial"/>
          <w:sz w:val="24"/>
          <w:szCs w:val="24"/>
        </w:rPr>
        <w:t>.</w:t>
      </w:r>
    </w:p>
    <w:p w14:paraId="4075D769" w14:textId="77777777" w:rsidR="00DE2C8B" w:rsidRPr="00DE2C8B" w:rsidRDefault="00DE2C8B" w:rsidP="00DE2C8B">
      <w:pPr>
        <w:rPr>
          <w:rFonts w:ascii="Arial" w:hAnsi="Arial" w:cs="Arial"/>
          <w:sz w:val="24"/>
          <w:szCs w:val="24"/>
        </w:rPr>
      </w:pPr>
    </w:p>
    <w:p w14:paraId="03D5B389" w14:textId="77777777" w:rsidR="00DE2C8B" w:rsidRPr="00DE2C8B" w:rsidRDefault="00DE2C8B" w:rsidP="00DE2C8B">
      <w:pPr>
        <w:rPr>
          <w:rFonts w:ascii="Arial" w:hAnsi="Arial" w:cs="Arial"/>
          <w:sz w:val="24"/>
          <w:szCs w:val="24"/>
        </w:rPr>
        <w:sectPr w:rsidR="00DE2C8B" w:rsidRPr="00DE2C8B" w:rsidSect="00DE2C8B">
          <w:pgSz w:w="11906" w:h="16838"/>
          <w:pgMar w:top="1440" w:right="1440" w:bottom="1440" w:left="1440" w:header="708" w:footer="708" w:gutter="0"/>
          <w:cols w:space="708"/>
          <w:docGrid w:linePitch="360"/>
        </w:sectPr>
      </w:pPr>
    </w:p>
    <w:p w14:paraId="385540D3" w14:textId="77777777" w:rsidR="00DE2C8B" w:rsidRPr="00DE2C8B" w:rsidRDefault="00DE2C8B" w:rsidP="00DE2C8B">
      <w:pPr>
        <w:rPr>
          <w:rFonts w:ascii="Arial" w:hAnsi="Arial" w:cs="Arial"/>
          <w:b/>
          <w:bCs/>
          <w:sz w:val="24"/>
          <w:szCs w:val="24"/>
          <w:u w:val="single"/>
        </w:rPr>
      </w:pPr>
      <w:r w:rsidRPr="00DE2C8B">
        <w:rPr>
          <w:rFonts w:ascii="Arial" w:hAnsi="Arial" w:cs="Arial"/>
          <w:b/>
          <w:bCs/>
          <w:sz w:val="24"/>
          <w:szCs w:val="24"/>
          <w:u w:val="single"/>
        </w:rPr>
        <w:lastRenderedPageBreak/>
        <w:t>Public Finance Act 1989:</w:t>
      </w:r>
    </w:p>
    <w:p w14:paraId="39A49F04" w14:textId="77777777" w:rsidR="00DE2C8B" w:rsidRPr="00DE2C8B" w:rsidRDefault="00DE2C8B" w:rsidP="00DE2C8B">
      <w:pPr>
        <w:rPr>
          <w:rFonts w:ascii="Arial" w:hAnsi="Arial" w:cs="Arial"/>
          <w:b/>
          <w:bCs/>
          <w:sz w:val="24"/>
          <w:szCs w:val="24"/>
        </w:rPr>
      </w:pPr>
      <w:r w:rsidRPr="00DE2C8B">
        <w:rPr>
          <w:rFonts w:ascii="Arial" w:hAnsi="Arial" w:cs="Arial"/>
          <w:b/>
          <w:bCs/>
          <w:sz w:val="24"/>
          <w:szCs w:val="24"/>
        </w:rPr>
        <w:t>65I Investment of public money</w:t>
      </w:r>
    </w:p>
    <w:p w14:paraId="7B75376A" w14:textId="77777777" w:rsidR="00DE2C8B" w:rsidRPr="00DE2C8B" w:rsidRDefault="00DE2C8B" w:rsidP="00DE2C8B">
      <w:pPr>
        <w:rPr>
          <w:rFonts w:ascii="Arial" w:hAnsi="Arial" w:cs="Arial"/>
          <w:sz w:val="24"/>
          <w:szCs w:val="24"/>
        </w:rPr>
      </w:pPr>
      <w:r w:rsidRPr="00DE2C8B">
        <w:rPr>
          <w:rFonts w:ascii="Arial" w:hAnsi="Arial" w:cs="Arial"/>
          <w:sz w:val="24"/>
          <w:szCs w:val="24"/>
        </w:rPr>
        <w:t>(1) The Treasury may, without further appropriation than this section, invest any money held in a Crown Bank Account or a Departmental Bank Account—</w:t>
      </w:r>
    </w:p>
    <w:p w14:paraId="5ADBCAFA"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(a) on deposit with a bank (whether in New Zealand or elsewhere) approved by the Minister for the purpose; or</w:t>
      </w:r>
    </w:p>
    <w:p w14:paraId="3D06C132"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(b) in public securities; or</w:t>
      </w:r>
    </w:p>
    <w:p w14:paraId="472E75FA"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(c) in any other securities that the Minister may approve for the purpose.</w:t>
      </w:r>
    </w:p>
    <w:p w14:paraId="5C70D75A" w14:textId="77777777" w:rsidR="00DE2C8B" w:rsidRPr="00DE2C8B" w:rsidRDefault="00DE2C8B" w:rsidP="00DE2C8B">
      <w:pPr>
        <w:rPr>
          <w:rFonts w:ascii="Arial" w:hAnsi="Arial" w:cs="Arial"/>
          <w:sz w:val="24"/>
          <w:szCs w:val="24"/>
        </w:rPr>
      </w:pPr>
      <w:r w:rsidRPr="00DE2C8B">
        <w:rPr>
          <w:rFonts w:ascii="Arial" w:hAnsi="Arial" w:cs="Arial"/>
          <w:sz w:val="24"/>
          <w:szCs w:val="24"/>
        </w:rPr>
        <w:t>(2) The Treasury may—</w:t>
      </w:r>
    </w:p>
    <w:p w14:paraId="7002883C"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(a) invest the money for any period and on any terms and conditions that it thinks fit; and</w:t>
      </w:r>
    </w:p>
    <w:p w14:paraId="2C315F42"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(b) sell, or convert into money, any of the securities.</w:t>
      </w:r>
    </w:p>
    <w:p w14:paraId="7D202B62" w14:textId="77777777" w:rsidR="00DE2C8B" w:rsidRPr="00DE2C8B" w:rsidRDefault="00DE2C8B" w:rsidP="00DE2C8B">
      <w:pPr>
        <w:rPr>
          <w:rFonts w:ascii="Arial" w:hAnsi="Arial" w:cs="Arial"/>
          <w:sz w:val="24"/>
          <w:szCs w:val="24"/>
        </w:rPr>
      </w:pPr>
      <w:r w:rsidRPr="00DE2C8B">
        <w:rPr>
          <w:rFonts w:ascii="Arial" w:hAnsi="Arial" w:cs="Arial"/>
          <w:sz w:val="24"/>
          <w:szCs w:val="24"/>
        </w:rPr>
        <w:t>(3) The following must be paid into a Crown Bank Account or, if the Minister directs, a Departmental Bank Account:</w:t>
      </w:r>
    </w:p>
    <w:p w14:paraId="562D4895"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(a) all interest received from the investment; and</w:t>
      </w:r>
    </w:p>
    <w:p w14:paraId="2246713E" w14:textId="77777777" w:rsidR="00DE2C8B" w:rsidRPr="00DE2C8B" w:rsidRDefault="00DE2C8B" w:rsidP="00DE2C8B">
      <w:pPr>
        <w:ind w:left="720"/>
        <w:rPr>
          <w:rFonts w:ascii="Arial" w:hAnsi="Arial" w:cs="Arial"/>
          <w:sz w:val="24"/>
          <w:szCs w:val="24"/>
        </w:rPr>
      </w:pPr>
      <w:r w:rsidRPr="00DE2C8B">
        <w:rPr>
          <w:rFonts w:ascii="Arial" w:hAnsi="Arial" w:cs="Arial"/>
          <w:sz w:val="24"/>
          <w:szCs w:val="24"/>
        </w:rPr>
        <w:t>(b) all money received from—</w:t>
      </w:r>
    </w:p>
    <w:p w14:paraId="03732DB2" w14:textId="77777777" w:rsidR="00DE2C8B" w:rsidRPr="00DE2C8B" w:rsidRDefault="00DE2C8B" w:rsidP="00DE2C8B">
      <w:pPr>
        <w:ind w:left="1440"/>
        <w:rPr>
          <w:rFonts w:ascii="Arial" w:hAnsi="Arial" w:cs="Arial"/>
          <w:sz w:val="24"/>
          <w:szCs w:val="24"/>
        </w:rPr>
      </w:pPr>
      <w:r w:rsidRPr="00DE2C8B">
        <w:rPr>
          <w:rFonts w:ascii="Arial" w:hAnsi="Arial" w:cs="Arial"/>
          <w:sz w:val="24"/>
          <w:szCs w:val="24"/>
        </w:rPr>
        <w:t>(i) the redemption or maturity of the investment; or</w:t>
      </w:r>
    </w:p>
    <w:p w14:paraId="74ACB4CB" w14:textId="77777777" w:rsidR="00DE2C8B" w:rsidRPr="00DE2C8B" w:rsidRDefault="00DE2C8B" w:rsidP="00DE2C8B">
      <w:pPr>
        <w:ind w:left="1440"/>
        <w:rPr>
          <w:rFonts w:ascii="Arial" w:hAnsi="Arial" w:cs="Arial"/>
          <w:sz w:val="24"/>
          <w:szCs w:val="24"/>
        </w:rPr>
      </w:pPr>
      <w:r w:rsidRPr="00DE2C8B">
        <w:rPr>
          <w:rFonts w:ascii="Arial" w:hAnsi="Arial" w:cs="Arial"/>
          <w:sz w:val="24"/>
          <w:szCs w:val="24"/>
        </w:rPr>
        <w:t>(ii) the sale or conversion of the securities.</w:t>
      </w:r>
    </w:p>
    <w:p w14:paraId="2A98130F" w14:textId="77777777" w:rsidR="00CC0D78" w:rsidRPr="004E062E" w:rsidRDefault="00CC0D78">
      <w:pPr>
        <w:rPr>
          <w:rFonts w:ascii="Arial" w:hAnsi="Arial" w:cs="Arial"/>
        </w:rPr>
      </w:pPr>
    </w:p>
    <w:sectPr w:rsidR="00CC0D78" w:rsidRPr="004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8B"/>
    <w:rsid w:val="004E062E"/>
    <w:rsid w:val="006D21E2"/>
    <w:rsid w:val="00B37240"/>
    <w:rsid w:val="00CC0D78"/>
    <w:rsid w:val="00DE2C8B"/>
    <w:rsid w:val="00EF1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881A"/>
  <w15:chartTrackingRefBased/>
  <w15:docId w15:val="{003AE267-7493-4702-ACAC-178FD92A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C8B"/>
  </w:style>
  <w:style w:type="paragraph" w:styleId="Heading1">
    <w:name w:val="heading 1"/>
    <w:basedOn w:val="Normal"/>
    <w:next w:val="Normal"/>
    <w:link w:val="Heading1Char"/>
    <w:uiPriority w:val="9"/>
    <w:qFormat/>
    <w:rsid w:val="00DE2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C8B"/>
    <w:rPr>
      <w:rFonts w:eastAsiaTheme="majorEastAsia" w:cstheme="majorBidi"/>
      <w:color w:val="272727" w:themeColor="text1" w:themeTint="D8"/>
    </w:rPr>
  </w:style>
  <w:style w:type="paragraph" w:styleId="Title">
    <w:name w:val="Title"/>
    <w:basedOn w:val="Normal"/>
    <w:next w:val="Normal"/>
    <w:link w:val="TitleChar"/>
    <w:uiPriority w:val="10"/>
    <w:qFormat/>
    <w:rsid w:val="00DE2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C8B"/>
    <w:pPr>
      <w:spacing w:before="160"/>
      <w:jc w:val="center"/>
    </w:pPr>
    <w:rPr>
      <w:i/>
      <w:iCs/>
      <w:color w:val="404040" w:themeColor="text1" w:themeTint="BF"/>
    </w:rPr>
  </w:style>
  <w:style w:type="character" w:customStyle="1" w:styleId="QuoteChar">
    <w:name w:val="Quote Char"/>
    <w:basedOn w:val="DefaultParagraphFont"/>
    <w:link w:val="Quote"/>
    <w:uiPriority w:val="29"/>
    <w:rsid w:val="00DE2C8B"/>
    <w:rPr>
      <w:i/>
      <w:iCs/>
      <w:color w:val="404040" w:themeColor="text1" w:themeTint="BF"/>
    </w:rPr>
  </w:style>
  <w:style w:type="paragraph" w:styleId="ListParagraph">
    <w:name w:val="List Paragraph"/>
    <w:basedOn w:val="Normal"/>
    <w:uiPriority w:val="34"/>
    <w:qFormat/>
    <w:rsid w:val="00DE2C8B"/>
    <w:pPr>
      <w:ind w:left="720"/>
      <w:contextualSpacing/>
    </w:pPr>
  </w:style>
  <w:style w:type="character" w:styleId="IntenseEmphasis">
    <w:name w:val="Intense Emphasis"/>
    <w:basedOn w:val="DefaultParagraphFont"/>
    <w:uiPriority w:val="21"/>
    <w:qFormat/>
    <w:rsid w:val="00DE2C8B"/>
    <w:rPr>
      <w:i/>
      <w:iCs/>
      <w:color w:val="0F4761" w:themeColor="accent1" w:themeShade="BF"/>
    </w:rPr>
  </w:style>
  <w:style w:type="paragraph" w:styleId="IntenseQuote">
    <w:name w:val="Intense Quote"/>
    <w:basedOn w:val="Normal"/>
    <w:next w:val="Normal"/>
    <w:link w:val="IntenseQuoteChar"/>
    <w:uiPriority w:val="30"/>
    <w:qFormat/>
    <w:rsid w:val="00DE2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C8B"/>
    <w:rPr>
      <w:i/>
      <w:iCs/>
      <w:color w:val="0F4761" w:themeColor="accent1" w:themeShade="BF"/>
    </w:rPr>
  </w:style>
  <w:style w:type="character" w:styleId="IntenseReference">
    <w:name w:val="Intense Reference"/>
    <w:basedOn w:val="DefaultParagraphFont"/>
    <w:uiPriority w:val="32"/>
    <w:qFormat/>
    <w:rsid w:val="00DE2C8B"/>
    <w:rPr>
      <w:b/>
      <w:bCs/>
      <w:smallCaps/>
      <w:color w:val="0F4761" w:themeColor="accent1" w:themeShade="BF"/>
      <w:spacing w:val="5"/>
    </w:rPr>
  </w:style>
  <w:style w:type="character" w:styleId="Hyperlink">
    <w:name w:val="Hyperlink"/>
    <w:basedOn w:val="DefaultParagraphFont"/>
    <w:uiPriority w:val="99"/>
    <w:unhideWhenUsed/>
    <w:rsid w:val="00DE2C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20/0038/latest/link.aspx?id=DLM329630" TargetMode="External"/><Relationship Id="rId3" Type="http://schemas.openxmlformats.org/officeDocument/2006/relationships/webSettings" Target="webSettings.xml"/><Relationship Id="rId7" Type="http://schemas.openxmlformats.org/officeDocument/2006/relationships/hyperlink" Target="https://www.legislation.govt.nz/act/public/2020/0038/latest/link.aspx?id=DLM1631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lation.govt.nz/act/public/2020/0038/latest/link.aspx?id=DLM162921" TargetMode="External"/><Relationship Id="rId5" Type="http://schemas.openxmlformats.org/officeDocument/2006/relationships/hyperlink" Target="https://www.legislation.govt.nz/act/public/2020/0038/latest/link.aspx?id=LMS330949" TargetMode="External"/><Relationship Id="rId10" Type="http://schemas.openxmlformats.org/officeDocument/2006/relationships/theme" Target="theme/theme1.xml"/><Relationship Id="rId4" Type="http://schemas.openxmlformats.org/officeDocument/2006/relationships/hyperlink" Target="https://www.legislation.govt.nz/act/public/2020/0038/latest/link.aspx?id=DLM32964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3730</Characters>
  <Application>Microsoft Office Word</Application>
  <DocSecurity>0</DocSecurity>
  <Lines>113</Lines>
  <Paragraphs>78</Paragraphs>
  <ScaleCrop>false</ScaleCrop>
  <Company>Otago Polytechnic</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1</cp:revision>
  <dcterms:created xsi:type="dcterms:W3CDTF">2026-01-11T20:46:00Z</dcterms:created>
  <dcterms:modified xsi:type="dcterms:W3CDTF">2026-01-11T20:47:00Z</dcterms:modified>
</cp:coreProperties>
</file>